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932D0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sz w:val="32"/>
          <w:szCs w:val="32"/>
          <w:lang w:val="en-US" w:eastAsia="zh-CN"/>
        </w:rPr>
      </w:pPr>
    </w:p>
    <w:p w14:paraId="21C8E60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微软雅黑" w:cs="Times New Roman"/>
          <w:sz w:val="44"/>
          <w:szCs w:val="44"/>
        </w:rPr>
      </w:pPr>
      <w:bookmarkStart w:id="0" w:name="heading_12"/>
    </w:p>
    <w:p w14:paraId="4C137B1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微软雅黑" w:cs="Times New Roman"/>
          <w:sz w:val="44"/>
          <w:szCs w:val="44"/>
        </w:rPr>
      </w:pPr>
    </w:p>
    <w:p w14:paraId="5C378CF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微软雅黑" w:cs="Times New Roman"/>
          <w:sz w:val="44"/>
          <w:szCs w:val="44"/>
          <w:lang w:eastAsia="zh-CN"/>
        </w:rPr>
      </w:pPr>
      <w:r>
        <w:rPr>
          <w:rFonts w:hint="default" w:ascii="Times New Roman" w:hAnsi="Times New Roman" w:eastAsia="微软雅黑" w:cs="Times New Roman"/>
          <w:sz w:val="44"/>
          <w:szCs w:val="44"/>
          <w:lang w:eastAsia="zh-CN"/>
        </w:rPr>
        <w:t>新疆</w:t>
      </w:r>
      <w:r>
        <w:rPr>
          <w:rFonts w:hint="eastAsia" w:ascii="Times New Roman" w:hAnsi="Times New Roman" w:eastAsia="微软雅黑" w:cs="Times New Roman"/>
          <w:sz w:val="44"/>
          <w:szCs w:val="44"/>
          <w:lang w:eastAsia="zh-CN"/>
        </w:rPr>
        <w:t>重点人才计划卓越工程师</w:t>
      </w:r>
    </w:p>
    <w:p w14:paraId="33493A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微软雅黑" w:cs="Times New Roman"/>
          <w:sz w:val="44"/>
          <w:szCs w:val="44"/>
          <w:lang w:eastAsia="zh-CN"/>
        </w:rPr>
      </w:pPr>
      <w:r>
        <w:rPr>
          <w:rFonts w:hint="eastAsia" w:ascii="Times New Roman" w:hAnsi="Times New Roman" w:eastAsia="微软雅黑" w:cs="Times New Roman"/>
          <w:sz w:val="44"/>
          <w:szCs w:val="44"/>
          <w:lang w:eastAsia="zh-CN"/>
        </w:rPr>
        <w:t>培养项目申</w:t>
      </w:r>
      <w:r>
        <w:rPr>
          <w:rFonts w:hint="default" w:ascii="Times New Roman" w:hAnsi="Times New Roman" w:eastAsia="微软雅黑" w:cs="Times New Roman"/>
          <w:sz w:val="44"/>
          <w:szCs w:val="44"/>
          <w:lang w:eastAsia="zh-CN"/>
        </w:rPr>
        <w:t>报书</w:t>
      </w:r>
      <w:bookmarkEnd w:id="0"/>
    </w:p>
    <w:p w14:paraId="2F2D36B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p>
    <w:p w14:paraId="3D2C1695">
      <w:pPr>
        <w:pStyle w:val="9"/>
        <w:rPr>
          <w:rFonts w:hint="default"/>
        </w:rPr>
      </w:pPr>
    </w:p>
    <w:p w14:paraId="7A233D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仿宋_GB2312" w:cs="Times New Roman"/>
          <w:sz w:val="32"/>
          <w:szCs w:val="32"/>
        </w:rPr>
      </w:pPr>
    </w:p>
    <w:tbl>
      <w:tblPr>
        <w:tblStyle w:val="13"/>
        <w:tblW w:w="10103" w:type="dxa"/>
        <w:jc w:val="center"/>
        <w:tblLayout w:type="fixed"/>
        <w:tblCellMar>
          <w:top w:w="0" w:type="dxa"/>
          <w:left w:w="108" w:type="dxa"/>
          <w:bottom w:w="0" w:type="dxa"/>
          <w:right w:w="108" w:type="dxa"/>
        </w:tblCellMar>
      </w:tblPr>
      <w:tblGrid>
        <w:gridCol w:w="2959"/>
        <w:gridCol w:w="240"/>
        <w:gridCol w:w="6904"/>
      </w:tblGrid>
      <w:tr w14:paraId="096A5E75">
        <w:tblPrEx>
          <w:tblCellMar>
            <w:top w:w="0" w:type="dxa"/>
            <w:left w:w="108" w:type="dxa"/>
            <w:bottom w:w="0" w:type="dxa"/>
            <w:right w:w="108" w:type="dxa"/>
          </w:tblCellMar>
        </w:tblPrEx>
        <w:trPr>
          <w:trHeight w:val="982" w:hRule="exact"/>
          <w:jc w:val="center"/>
        </w:trPr>
        <w:tc>
          <w:tcPr>
            <w:tcW w:w="2959" w:type="dxa"/>
            <w:noWrap w:val="0"/>
            <w:vAlign w:val="center"/>
          </w:tcPr>
          <w:p w14:paraId="2D2DB06C">
            <w:pPr>
              <w:tabs>
                <w:tab w:val="left" w:pos="2131"/>
                <w:tab w:val="left" w:pos="2551"/>
              </w:tabs>
              <w:spacing w:line="520" w:lineRule="exact"/>
              <w:rPr>
                <w:rFonts w:hint="eastAsia" w:ascii="Times New Roman" w:hAnsi="Times New Roman" w:eastAsia="黑体" w:cs="黑体"/>
                <w:b w:val="0"/>
                <w:bCs w:val="0"/>
                <w:sz w:val="28"/>
                <w:szCs w:val="28"/>
                <w:lang w:val="en-US" w:eastAsia="zh-CN"/>
              </w:rPr>
            </w:pPr>
            <w:r>
              <w:rPr>
                <w:rFonts w:hint="eastAsia" w:ascii="Times New Roman" w:hAnsi="Times New Roman" w:eastAsia="黑体" w:cs="黑体"/>
                <w:b w:val="0"/>
                <w:bCs w:val="0"/>
                <w:spacing w:val="37"/>
                <w:kern w:val="0"/>
                <w:sz w:val="28"/>
                <w:szCs w:val="28"/>
                <w:lang w:eastAsia="zh-CN"/>
              </w:rPr>
              <w:t>项目名称</w:t>
            </w:r>
          </w:p>
        </w:tc>
        <w:tc>
          <w:tcPr>
            <w:tcW w:w="240" w:type="dxa"/>
            <w:noWrap w:val="0"/>
            <w:vAlign w:val="center"/>
          </w:tcPr>
          <w:p w14:paraId="2F97F329">
            <w:pPr>
              <w:spacing w:line="520" w:lineRule="exact"/>
              <w:jc w:val="center"/>
              <w:rPr>
                <w:rFonts w:hint="eastAsia" w:ascii="Times New Roman" w:hAnsi="Times New Roman" w:eastAsia="宋体" w:cs="宋体"/>
                <w:b w:val="0"/>
                <w:bCs w:val="0"/>
                <w:sz w:val="28"/>
                <w:szCs w:val="28"/>
              </w:rPr>
            </w:pPr>
          </w:p>
        </w:tc>
        <w:tc>
          <w:tcPr>
            <w:tcW w:w="6904" w:type="dxa"/>
            <w:noWrap w:val="0"/>
            <w:vAlign w:val="center"/>
          </w:tcPr>
          <w:p w14:paraId="76B94736">
            <w:pPr>
              <w:spacing w:line="520" w:lineRule="exact"/>
              <w:rPr>
                <w:rFonts w:hint="eastAsia"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rPr>
              <w:t>面向锂基与碳基新材料产业工艺优化的绿色耐酸碱聚硫酸酯超滤膜开发、产业化及PVD</w:t>
            </w:r>
            <w:r>
              <w:rPr>
                <w:rFonts w:hint="default" w:ascii="Times New Roman" w:hAnsi="Times New Roman" w:eastAsia="黑体" w:cs="Times New Roman"/>
                <w:b w:val="0"/>
                <w:bCs w:val="0"/>
                <w:sz w:val="28"/>
                <w:szCs w:val="28"/>
                <w:u w:val="single"/>
                <w:lang w:val="en-US" w:eastAsia="zh-CN"/>
              </w:rPr>
              <w:t>F</w:t>
            </w:r>
            <w:r>
              <w:rPr>
                <w:rFonts w:hint="default" w:ascii="Times New Roman" w:hAnsi="Times New Roman" w:eastAsia="黑体" w:cs="Times New Roman"/>
                <w:b w:val="0"/>
                <w:bCs w:val="0"/>
                <w:sz w:val="28"/>
                <w:szCs w:val="28"/>
                <w:u w:val="single"/>
              </w:rPr>
              <w:t>膜替代工程应用</w:t>
            </w:r>
          </w:p>
        </w:tc>
      </w:tr>
      <w:tr w14:paraId="12AF48AA">
        <w:tblPrEx>
          <w:tblCellMar>
            <w:top w:w="0" w:type="dxa"/>
            <w:left w:w="108" w:type="dxa"/>
            <w:bottom w:w="0" w:type="dxa"/>
            <w:right w:w="108" w:type="dxa"/>
          </w:tblCellMar>
        </w:tblPrEx>
        <w:trPr>
          <w:trHeight w:val="982" w:hRule="exact"/>
          <w:jc w:val="center"/>
        </w:trPr>
        <w:tc>
          <w:tcPr>
            <w:tcW w:w="2959" w:type="dxa"/>
            <w:noWrap w:val="0"/>
            <w:vAlign w:val="center"/>
          </w:tcPr>
          <w:p w14:paraId="66FD57EA">
            <w:pPr>
              <w:tabs>
                <w:tab w:val="left" w:pos="2506"/>
              </w:tabs>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pacing w:val="37"/>
                <w:kern w:val="0"/>
                <w:sz w:val="28"/>
                <w:szCs w:val="28"/>
                <w:lang w:eastAsia="zh-CN"/>
              </w:rPr>
              <w:t>所属领域（方向）</w:t>
            </w:r>
          </w:p>
        </w:tc>
        <w:tc>
          <w:tcPr>
            <w:tcW w:w="240" w:type="dxa"/>
            <w:noWrap w:val="0"/>
            <w:vAlign w:val="center"/>
          </w:tcPr>
          <w:p w14:paraId="00A22F5E">
            <w:pPr>
              <w:spacing w:line="520" w:lineRule="exact"/>
              <w:jc w:val="center"/>
              <w:rPr>
                <w:rFonts w:hint="eastAsia" w:ascii="Times New Roman" w:hAnsi="Times New Roman" w:eastAsia="宋体" w:cs="宋体"/>
                <w:b w:val="0"/>
                <w:bCs w:val="0"/>
                <w:sz w:val="28"/>
                <w:szCs w:val="28"/>
              </w:rPr>
            </w:pPr>
          </w:p>
        </w:tc>
        <w:tc>
          <w:tcPr>
            <w:tcW w:w="6904" w:type="dxa"/>
            <w:noWrap w:val="0"/>
            <w:vAlign w:val="center"/>
          </w:tcPr>
          <w:p w14:paraId="29EEFF8A">
            <w:pPr>
              <w:spacing w:line="520" w:lineRule="exact"/>
              <w:rPr>
                <w:rFonts w:hint="eastAsia"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新材料</w:t>
            </w:r>
          </w:p>
        </w:tc>
      </w:tr>
      <w:tr w14:paraId="2878C293">
        <w:tblPrEx>
          <w:tblCellMar>
            <w:top w:w="0" w:type="dxa"/>
            <w:left w:w="108" w:type="dxa"/>
            <w:bottom w:w="0" w:type="dxa"/>
            <w:right w:w="108" w:type="dxa"/>
          </w:tblCellMar>
        </w:tblPrEx>
        <w:trPr>
          <w:trHeight w:val="982" w:hRule="exact"/>
          <w:jc w:val="center"/>
        </w:trPr>
        <w:tc>
          <w:tcPr>
            <w:tcW w:w="2959" w:type="dxa"/>
            <w:noWrap w:val="0"/>
            <w:vAlign w:val="center"/>
          </w:tcPr>
          <w:p w14:paraId="6283F787">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申报单位</w:t>
            </w:r>
            <w:r>
              <w:rPr>
                <w:rFonts w:hint="eastAsia" w:ascii="Times New Roman" w:hAnsi="Times New Roman" w:eastAsia="黑体" w:cs="黑体"/>
                <w:b w:val="0"/>
                <w:bCs w:val="0"/>
                <w:sz w:val="28"/>
                <w:szCs w:val="28"/>
              </w:rPr>
              <w:t>（</w:t>
            </w:r>
            <w:r>
              <w:rPr>
                <w:rFonts w:hint="eastAsia" w:ascii="Times New Roman" w:hAnsi="Times New Roman" w:eastAsia="黑体" w:cs="黑体"/>
                <w:b w:val="0"/>
                <w:bCs w:val="0"/>
                <w:sz w:val="28"/>
                <w:szCs w:val="28"/>
                <w:lang w:eastAsia="zh-CN"/>
              </w:rPr>
              <w:t>公</w:t>
            </w:r>
            <w:r>
              <w:rPr>
                <w:rFonts w:hint="eastAsia" w:ascii="Times New Roman" w:hAnsi="Times New Roman" w:eastAsia="黑体" w:cs="黑体"/>
                <w:b w:val="0"/>
                <w:bCs w:val="0"/>
                <w:sz w:val="28"/>
                <w:szCs w:val="28"/>
              </w:rPr>
              <w:t>章）</w:t>
            </w:r>
          </w:p>
        </w:tc>
        <w:tc>
          <w:tcPr>
            <w:tcW w:w="240" w:type="dxa"/>
            <w:noWrap w:val="0"/>
            <w:vAlign w:val="center"/>
          </w:tcPr>
          <w:p w14:paraId="65DAFC96">
            <w:pPr>
              <w:spacing w:line="520" w:lineRule="exact"/>
              <w:jc w:val="center"/>
              <w:rPr>
                <w:rFonts w:hint="eastAsia" w:ascii="Times New Roman" w:hAnsi="Times New Roman" w:eastAsia="宋体" w:cs="宋体"/>
                <w:b w:val="0"/>
                <w:bCs w:val="0"/>
                <w:sz w:val="28"/>
                <w:szCs w:val="28"/>
              </w:rPr>
            </w:pPr>
          </w:p>
        </w:tc>
        <w:tc>
          <w:tcPr>
            <w:tcW w:w="6904" w:type="dxa"/>
            <w:noWrap w:val="0"/>
            <w:vAlign w:val="center"/>
          </w:tcPr>
          <w:p w14:paraId="5A358835">
            <w:pPr>
              <w:spacing w:line="520" w:lineRule="exact"/>
              <w:rPr>
                <w:rFonts w:hint="eastAsia"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德蓝水技术股份有限公司</w:t>
            </w:r>
          </w:p>
        </w:tc>
      </w:tr>
      <w:tr w14:paraId="46C5B39D">
        <w:tblPrEx>
          <w:tblCellMar>
            <w:top w:w="0" w:type="dxa"/>
            <w:left w:w="108" w:type="dxa"/>
            <w:bottom w:w="0" w:type="dxa"/>
            <w:right w:w="108" w:type="dxa"/>
          </w:tblCellMar>
        </w:tblPrEx>
        <w:trPr>
          <w:trHeight w:val="982" w:hRule="exact"/>
          <w:jc w:val="center"/>
        </w:trPr>
        <w:tc>
          <w:tcPr>
            <w:tcW w:w="2959" w:type="dxa"/>
            <w:noWrap w:val="0"/>
            <w:vAlign w:val="center"/>
          </w:tcPr>
          <w:p w14:paraId="4DEF4F1E">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申报</w:t>
            </w:r>
            <w:r>
              <w:rPr>
                <w:rFonts w:hint="eastAsia" w:ascii="Times New Roman" w:hAnsi="Times New Roman" w:eastAsia="黑体" w:cs="黑体"/>
                <w:b w:val="0"/>
                <w:bCs w:val="0"/>
                <w:sz w:val="28"/>
                <w:szCs w:val="28"/>
              </w:rPr>
              <w:t>人姓名</w:t>
            </w:r>
          </w:p>
        </w:tc>
        <w:tc>
          <w:tcPr>
            <w:tcW w:w="240" w:type="dxa"/>
            <w:noWrap w:val="0"/>
            <w:vAlign w:val="center"/>
          </w:tcPr>
          <w:p w14:paraId="4A73692F">
            <w:pPr>
              <w:spacing w:line="520" w:lineRule="exact"/>
              <w:jc w:val="center"/>
              <w:rPr>
                <w:rFonts w:hint="eastAsia" w:ascii="Times New Roman" w:hAnsi="Times New Roman" w:eastAsia="宋体" w:cs="宋体"/>
                <w:b w:val="0"/>
                <w:bCs w:val="0"/>
                <w:sz w:val="28"/>
                <w:szCs w:val="28"/>
              </w:rPr>
            </w:pPr>
          </w:p>
        </w:tc>
        <w:tc>
          <w:tcPr>
            <w:tcW w:w="6904" w:type="dxa"/>
            <w:noWrap w:val="0"/>
            <w:vAlign w:val="center"/>
          </w:tcPr>
          <w:p w14:paraId="71CE2FD5">
            <w:pPr>
              <w:spacing w:line="520" w:lineRule="exact"/>
              <w:rPr>
                <w:rFonts w:hint="eastAsia"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许白羽</w:t>
            </w:r>
          </w:p>
        </w:tc>
      </w:tr>
      <w:tr w14:paraId="5DCADE8D">
        <w:tblPrEx>
          <w:tblCellMar>
            <w:top w:w="0" w:type="dxa"/>
            <w:left w:w="108" w:type="dxa"/>
            <w:bottom w:w="0" w:type="dxa"/>
            <w:right w:w="108" w:type="dxa"/>
          </w:tblCellMar>
        </w:tblPrEx>
        <w:trPr>
          <w:trHeight w:val="982" w:hRule="exact"/>
          <w:jc w:val="center"/>
        </w:trPr>
        <w:tc>
          <w:tcPr>
            <w:tcW w:w="2959" w:type="dxa"/>
            <w:noWrap w:val="0"/>
            <w:vAlign w:val="center"/>
          </w:tcPr>
          <w:p w14:paraId="688E8FE3">
            <w:pPr>
              <w:spacing w:line="520" w:lineRule="exact"/>
              <w:rPr>
                <w:rFonts w:hint="eastAsia" w:ascii="Times New Roman" w:hAnsi="Times New Roman" w:eastAsia="黑体" w:cs="黑体"/>
                <w:b w:val="0"/>
                <w:bCs w:val="0"/>
                <w:sz w:val="28"/>
                <w:szCs w:val="28"/>
                <w:lang w:eastAsia="zh-CN"/>
              </w:rPr>
            </w:pPr>
            <w:r>
              <w:rPr>
                <w:rFonts w:hint="eastAsia" w:ascii="Times New Roman" w:hAnsi="Times New Roman" w:eastAsia="黑体" w:cs="黑体"/>
                <w:b w:val="0"/>
                <w:bCs w:val="0"/>
                <w:sz w:val="28"/>
                <w:szCs w:val="28"/>
                <w:lang w:eastAsia="zh-CN"/>
              </w:rPr>
              <w:t>联系电话</w:t>
            </w:r>
          </w:p>
        </w:tc>
        <w:tc>
          <w:tcPr>
            <w:tcW w:w="240" w:type="dxa"/>
            <w:noWrap w:val="0"/>
            <w:vAlign w:val="center"/>
          </w:tcPr>
          <w:p w14:paraId="25568527">
            <w:pPr>
              <w:spacing w:line="520" w:lineRule="exact"/>
              <w:jc w:val="center"/>
              <w:rPr>
                <w:rFonts w:hint="eastAsia" w:ascii="Times New Roman" w:hAnsi="Times New Roman" w:eastAsia="宋体" w:cs="宋体"/>
                <w:b w:val="0"/>
                <w:bCs w:val="0"/>
                <w:sz w:val="28"/>
                <w:szCs w:val="28"/>
                <w:lang w:val="en-US" w:eastAsia="zh-CN"/>
              </w:rPr>
            </w:pPr>
          </w:p>
        </w:tc>
        <w:tc>
          <w:tcPr>
            <w:tcW w:w="6904" w:type="dxa"/>
            <w:noWrap w:val="0"/>
            <w:vAlign w:val="center"/>
          </w:tcPr>
          <w:p w14:paraId="65BC93E7">
            <w:pPr>
              <w:spacing w:line="520" w:lineRule="exact"/>
              <w:rPr>
                <w:rFonts w:hint="eastAsia" w:ascii="Times New Roman" w:hAnsi="Times New Roman" w:eastAsia="黑体" w:cs="Times New Roman"/>
                <w:b w:val="0"/>
                <w:bCs w:val="0"/>
                <w:sz w:val="28"/>
                <w:szCs w:val="28"/>
                <w:u w:val="single"/>
                <w:lang w:val="en-US" w:eastAsia="zh-CN"/>
              </w:rPr>
            </w:pPr>
            <w:r>
              <w:rPr>
                <w:rFonts w:hint="default" w:ascii="Times New Roman" w:hAnsi="Times New Roman" w:eastAsia="黑体" w:cs="Times New Roman"/>
                <w:b w:val="0"/>
                <w:bCs w:val="0"/>
                <w:sz w:val="28"/>
                <w:szCs w:val="28"/>
                <w:u w:val="single"/>
                <w:lang w:val="en-US" w:eastAsia="zh-CN"/>
              </w:rPr>
              <w:t>15299112968</w:t>
            </w:r>
          </w:p>
        </w:tc>
      </w:tr>
    </w:tbl>
    <w:p w14:paraId="438B937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12A076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7E7E16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sz w:val="32"/>
          <w:szCs w:val="32"/>
        </w:rPr>
      </w:pPr>
    </w:p>
    <w:p w14:paraId="6A485B40">
      <w:pPr>
        <w:jc w:val="center"/>
        <w:rPr>
          <w:rFonts w:hint="eastAsia" w:ascii="黑体" w:hAnsi="黑体" w:eastAsia="黑体" w:cs="黑体"/>
          <w:sz w:val="32"/>
          <w:szCs w:val="32"/>
          <w:lang w:eastAsia="zh-CN"/>
        </w:rPr>
      </w:pPr>
      <w:r>
        <w:rPr>
          <w:rFonts w:hint="eastAsia" w:ascii="黑体" w:hAnsi="黑体" w:eastAsia="黑体" w:cs="黑体"/>
          <w:sz w:val="32"/>
          <w:szCs w:val="32"/>
        </w:rPr>
        <w:t>自治区工业和信息化厅</w:t>
      </w:r>
      <w:r>
        <w:rPr>
          <w:rFonts w:hint="eastAsia" w:ascii="黑体" w:hAnsi="黑体" w:eastAsia="黑体" w:cs="黑体"/>
          <w:sz w:val="32"/>
          <w:szCs w:val="32"/>
          <w:lang w:eastAsia="zh-CN"/>
        </w:rPr>
        <w:t>、自治区国有资产监督管理委员会</w:t>
      </w:r>
    </w:p>
    <w:p w14:paraId="3177A76A">
      <w:pPr>
        <w:jc w:val="center"/>
        <w:rPr>
          <w:rFonts w:hint="eastAsia" w:ascii="黑体" w:hAnsi="黑体" w:eastAsia="黑体" w:cs="黑体"/>
          <w:sz w:val="32"/>
          <w:szCs w:val="32"/>
        </w:rPr>
      </w:pPr>
      <w:r>
        <w:rPr>
          <w:rFonts w:hint="eastAsia" w:ascii="黑体" w:hAnsi="黑体" w:eastAsia="黑体" w:cs="黑体"/>
          <w:sz w:val="32"/>
          <w:szCs w:val="32"/>
        </w:rPr>
        <w:t>兵团工业和信息化局</w:t>
      </w:r>
      <w:r>
        <w:rPr>
          <w:rFonts w:hint="eastAsia" w:ascii="黑体" w:hAnsi="黑体" w:eastAsia="黑体" w:cs="黑体"/>
          <w:sz w:val="32"/>
          <w:szCs w:val="32"/>
          <w:lang w:eastAsia="zh-CN"/>
        </w:rPr>
        <w:t>、兵团国有资产监督管理委员会</w:t>
      </w:r>
      <w:r>
        <w:rPr>
          <w:rFonts w:hint="eastAsia" w:ascii="黑体" w:hAnsi="黑体" w:eastAsia="黑体" w:cs="黑体"/>
          <w:sz w:val="32"/>
          <w:szCs w:val="32"/>
        </w:rPr>
        <w:t>制</w:t>
      </w:r>
    </w:p>
    <w:p w14:paraId="4F14E1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黑体" w:cs="黑体"/>
          <w:sz w:val="32"/>
          <w:szCs w:val="32"/>
          <w:lang w:val="en-US" w:eastAsia="zh-CN"/>
        </w:rPr>
      </w:pPr>
      <w:r>
        <w:rPr>
          <w:rFonts w:hint="default" w:ascii="Times New Roman" w:hAnsi="Times New Roman" w:eastAsia="黑体" w:cs="Times New Roman"/>
          <w:b w:val="0"/>
          <w:bCs/>
          <w:color w:val="auto"/>
          <w:kern w:val="2"/>
          <w:sz w:val="32"/>
          <w:szCs w:val="32"/>
          <w:highlight w:val="none"/>
          <w:lang w:val="en-US" w:eastAsia="zh-CN" w:bidi="ar-SA"/>
        </w:rPr>
        <w:t>二Ο二</w:t>
      </w:r>
      <w:r>
        <w:rPr>
          <w:rFonts w:hint="eastAsia" w:ascii="Times New Roman" w:hAnsi="Times New Roman" w:eastAsia="黑体" w:cs="Times New Roman"/>
          <w:b w:val="0"/>
          <w:bCs/>
          <w:color w:val="auto"/>
          <w:kern w:val="2"/>
          <w:sz w:val="32"/>
          <w:szCs w:val="32"/>
          <w:highlight w:val="none"/>
          <w:lang w:val="en-US" w:eastAsia="zh-CN" w:bidi="ar-SA"/>
        </w:rPr>
        <w:t>六</w:t>
      </w:r>
      <w:r>
        <w:rPr>
          <w:rFonts w:hint="default" w:ascii="Times New Roman" w:hAnsi="Times New Roman" w:eastAsia="黑体" w:cs="Times New Roman"/>
          <w:b w:val="0"/>
          <w:bCs/>
          <w:color w:val="auto"/>
          <w:kern w:val="2"/>
          <w:sz w:val="32"/>
          <w:szCs w:val="32"/>
          <w:highlight w:val="none"/>
          <w:lang w:val="en-US" w:eastAsia="zh-CN" w:bidi="ar-SA"/>
        </w:rPr>
        <w:t>年</w:t>
      </w:r>
      <w:r>
        <w:rPr>
          <w:rFonts w:hint="eastAsia" w:ascii="Times New Roman" w:hAnsi="Times New Roman" w:eastAsia="黑体" w:cs="Times New Roman"/>
          <w:b w:val="0"/>
          <w:bCs/>
          <w:color w:val="auto"/>
          <w:kern w:val="2"/>
          <w:sz w:val="32"/>
          <w:szCs w:val="32"/>
          <w:highlight w:val="none"/>
          <w:lang w:val="en-US" w:eastAsia="zh-CN" w:bidi="ar-SA"/>
        </w:rPr>
        <w:t>九</w:t>
      </w:r>
      <w:r>
        <w:rPr>
          <w:rFonts w:hint="default" w:ascii="Times New Roman" w:hAnsi="Times New Roman" w:eastAsia="黑体" w:cs="Times New Roman"/>
          <w:b w:val="0"/>
          <w:bCs/>
          <w:color w:val="auto"/>
          <w:kern w:val="2"/>
          <w:sz w:val="32"/>
          <w:szCs w:val="32"/>
          <w:highlight w:val="none"/>
          <w:lang w:val="en-US" w:eastAsia="zh-CN" w:bidi="ar-SA"/>
        </w:rPr>
        <w:t>月</w:t>
      </w:r>
      <w:r>
        <w:rPr>
          <w:rFonts w:hint="eastAsia" w:ascii="Times New Roman" w:hAnsi="Times New Roman" w:eastAsia="黑体" w:cs="Times New Roman"/>
          <w:b w:val="0"/>
          <w:bCs/>
          <w:color w:val="auto"/>
          <w:kern w:val="2"/>
          <w:sz w:val="32"/>
          <w:szCs w:val="32"/>
          <w:highlight w:val="none"/>
          <w:lang w:val="en-US" w:eastAsia="zh-CN" w:bidi="ar-SA"/>
        </w:rPr>
        <w:t>七</w:t>
      </w:r>
      <w:r>
        <w:rPr>
          <w:rFonts w:hint="default" w:ascii="Times New Roman" w:hAnsi="Times New Roman" w:eastAsia="黑体" w:cs="Times New Roman"/>
          <w:b w:val="0"/>
          <w:bCs/>
          <w:color w:val="auto"/>
          <w:kern w:val="2"/>
          <w:sz w:val="32"/>
          <w:szCs w:val="32"/>
          <w:highlight w:val="none"/>
          <w:lang w:val="en-US" w:eastAsia="zh-CN" w:bidi="ar-SA"/>
        </w:rPr>
        <w:t>日</w:t>
      </w:r>
    </w:p>
    <w:p w14:paraId="27C9B88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Times New Roman" w:hAnsi="Times New Roman" w:eastAsia="黑体" w:cs="Times New Roman"/>
          <w:sz w:val="32"/>
          <w:szCs w:val="32"/>
          <w:highlight w:val="none"/>
          <w:lang w:eastAsia="zh-CN"/>
        </w:rPr>
      </w:pPr>
      <w:bookmarkStart w:id="1" w:name="heading_13"/>
      <w:r>
        <w:rPr>
          <w:rFonts w:hint="default" w:ascii="Times New Roman" w:hAnsi="Times New Roman" w:eastAsia="仿宋_GB2312" w:cs="Times New Roman"/>
          <w:sz w:val="32"/>
          <w:szCs w:val="32"/>
        </w:rPr>
        <w:br w:type="page"/>
      </w:r>
      <w:r>
        <w:rPr>
          <w:rFonts w:hint="default" w:ascii="Times New Roman" w:hAnsi="Times New Roman" w:eastAsia="黑体" w:cs="Times New Roman"/>
          <w:sz w:val="36"/>
          <w:szCs w:val="36"/>
          <w:highlight w:val="none"/>
        </w:rPr>
        <w:t>填写说明</w:t>
      </w:r>
      <w:bookmarkEnd w:id="1"/>
    </w:p>
    <w:p w14:paraId="77137BC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Times New Roman" w:hAnsi="Times New Roman" w:eastAsia="仿宋_GB2312" w:cs="Times New Roman"/>
          <w:sz w:val="32"/>
          <w:szCs w:val="32"/>
          <w:highlight w:val="none"/>
        </w:rPr>
      </w:pPr>
    </w:p>
    <w:p w14:paraId="342ADF0A">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eastAsia"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1.总体要求：本申报书是项目评审、任务书签订及过程管理的重要依据，各项内容须实事求是、准确完整、层次清晰；</w:t>
      </w:r>
    </w:p>
    <w:p w14:paraId="2CF89BF5">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2.</w:t>
      </w:r>
      <w:r>
        <w:rPr>
          <w:rFonts w:hint="default" w:ascii="Times New Roman" w:hAnsi="Times New Roman" w:eastAsia="仿宋_GB2312" w:cs="Times New Roman"/>
          <w:color w:val="auto"/>
          <w:sz w:val="28"/>
          <w:szCs w:val="28"/>
          <w:highlight w:val="none"/>
          <w:lang w:val="en-US" w:eastAsia="zh-CN"/>
        </w:rPr>
        <w:t>格式要求：申报书</w:t>
      </w:r>
      <w:r>
        <w:rPr>
          <w:rFonts w:hint="eastAsia" w:ascii="Times New Roman" w:hAnsi="Times New Roman" w:eastAsia="仿宋_GB2312" w:cs="Times New Roman"/>
          <w:color w:val="auto"/>
          <w:sz w:val="28"/>
          <w:szCs w:val="28"/>
          <w:highlight w:val="none"/>
          <w:lang w:val="en-US" w:eastAsia="zh-CN"/>
        </w:rPr>
        <w:t>封面页</w:t>
      </w:r>
      <w:r>
        <w:rPr>
          <w:rFonts w:hint="default" w:ascii="Times New Roman" w:hAnsi="Times New Roman" w:eastAsia="仿宋_GB2312" w:cs="Times New Roman"/>
          <w:color w:val="auto"/>
          <w:sz w:val="28"/>
          <w:szCs w:val="28"/>
          <w:highlight w:val="none"/>
          <w:lang w:val="en-US" w:eastAsia="zh-CN"/>
        </w:rPr>
        <w:t>标题统一采用黑体四号字，正文统一采用仿宋_GB2312三号字，</w:t>
      </w:r>
      <w:r>
        <w:rPr>
          <w:rFonts w:hint="eastAsia" w:ascii="Times New Roman" w:hAnsi="Times New Roman" w:eastAsia="仿宋_GB2312" w:cs="Times New Roman"/>
          <w:color w:val="auto"/>
          <w:sz w:val="28"/>
          <w:szCs w:val="28"/>
          <w:highlight w:val="none"/>
          <w:lang w:val="en-US" w:eastAsia="zh-CN"/>
        </w:rPr>
        <w:t>表格内采用宋体小</w:t>
      </w:r>
      <w:r>
        <w:rPr>
          <w:rFonts w:hint="default" w:ascii="Times New Roman" w:hAnsi="Times New Roman" w:eastAsia="仿宋_GB2312" w:cs="Times New Roman"/>
          <w:color w:val="auto"/>
          <w:sz w:val="28"/>
          <w:szCs w:val="28"/>
          <w:highlight w:val="none"/>
          <w:lang w:val="en-US" w:eastAsia="zh-CN"/>
        </w:rPr>
        <w:t>四号字</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全文（含标题）设置为固定值28磅行距，无内容填写项标注</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无</w:t>
      </w:r>
      <w:r>
        <w:rPr>
          <w:rFonts w:hint="eastAsia"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lang w:val="en-US" w:eastAsia="zh-CN"/>
        </w:rPr>
        <w:t>，严禁空白、留白；</w:t>
      </w:r>
    </w:p>
    <w:p w14:paraId="7CC4195B">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bookmarkStart w:id="2" w:name="heading_14"/>
      <w:r>
        <w:rPr>
          <w:rFonts w:hint="eastAsia" w:ascii="Times New Roman" w:hAnsi="Times New Roman" w:eastAsia="仿宋_GB2312" w:cs="Times New Roman"/>
          <w:color w:val="auto"/>
          <w:sz w:val="28"/>
          <w:szCs w:val="28"/>
          <w:highlight w:val="none"/>
          <w:lang w:val="en-US" w:eastAsia="zh-CN"/>
        </w:rPr>
        <w:t>3</w:t>
      </w:r>
      <w:r>
        <w:rPr>
          <w:rFonts w:hint="default" w:ascii="Times New Roman" w:hAnsi="Times New Roman" w:eastAsia="仿宋_GB2312" w:cs="Times New Roman"/>
          <w:color w:val="auto"/>
          <w:sz w:val="28"/>
          <w:szCs w:val="28"/>
          <w:highlight w:val="none"/>
          <w:lang w:val="en-US" w:eastAsia="zh-CN"/>
        </w:rPr>
        <w:t>.所属领域（方向）：请根据申报指南中的支持方向，结合项目实际填写具体的领域（方向）；</w:t>
      </w:r>
    </w:p>
    <w:p w14:paraId="5BF1279D">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rPr>
      </w:pPr>
      <w:r>
        <w:rPr>
          <w:rFonts w:hint="eastAsia" w:ascii="Times New Roman" w:hAnsi="Times New Roman" w:eastAsia="仿宋_GB2312" w:cs="Times New Roman"/>
          <w:color w:val="auto"/>
          <w:sz w:val="28"/>
          <w:szCs w:val="28"/>
          <w:highlight w:val="none"/>
          <w:lang w:val="en-US" w:eastAsia="zh-CN"/>
        </w:rPr>
        <w:t>4</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盖章签字：单位名称填写全称，需与单位公章完全一致；申报书须经项目负责人签字、单位加盖公章；</w:t>
      </w:r>
    </w:p>
    <w:p w14:paraId="6EFB4E53">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val="en-US" w:eastAsia="zh-CN"/>
        </w:rPr>
      </w:pPr>
      <w:r>
        <w:rPr>
          <w:rFonts w:hint="eastAsia" w:ascii="Times New Roman" w:hAnsi="Times New Roman" w:eastAsia="仿宋_GB2312" w:cs="Times New Roman"/>
          <w:color w:val="auto"/>
          <w:sz w:val="28"/>
          <w:szCs w:val="28"/>
          <w:highlight w:val="none"/>
          <w:lang w:val="en-US" w:eastAsia="zh-CN"/>
        </w:rPr>
        <w:t>5</w:t>
      </w:r>
      <w:r>
        <w:rPr>
          <w:rFonts w:hint="default" w:ascii="Times New Roman" w:hAnsi="Times New Roman" w:eastAsia="仿宋_GB2312" w:cs="Times New Roman"/>
          <w:color w:val="auto"/>
          <w:sz w:val="28"/>
          <w:szCs w:val="28"/>
          <w:highlight w:val="none"/>
          <w:lang w:val="en-US" w:eastAsia="zh-CN"/>
        </w:rPr>
        <w:t>.装订要求：</w:t>
      </w:r>
      <w:r>
        <w:rPr>
          <w:rFonts w:hint="default" w:ascii="Times New Roman" w:hAnsi="Times New Roman" w:eastAsia="仿宋_GB2312" w:cs="Times New Roman"/>
          <w:color w:val="auto"/>
          <w:sz w:val="28"/>
          <w:szCs w:val="28"/>
          <w:highlight w:val="none"/>
        </w:rPr>
        <w:t>申报书需同时提交电子版（通过</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智慧人才</w:t>
      </w:r>
      <w:r>
        <w:rPr>
          <w:rFonts w:hint="eastAsia"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平台上传）和纸质版（A4纸双面打印，加盖骑缝章），内容须完全一致。</w:t>
      </w:r>
    </w:p>
    <w:p w14:paraId="3261B111">
      <w:pPr>
        <w:keepNext w:val="0"/>
        <w:keepLines w:val="0"/>
        <w:pageBreakBefore w:val="0"/>
        <w:widowControl w:val="0"/>
        <w:kinsoku/>
        <w:wordWrap/>
        <w:overflowPunct/>
        <w:topLinePunct w:val="0"/>
        <w:autoSpaceDE/>
        <w:autoSpaceDN/>
        <w:bidi w:val="0"/>
        <w:adjustRightInd/>
        <w:snapToGrid/>
        <w:spacing w:line="480" w:lineRule="exact"/>
        <w:ind w:left="0" w:firstLine="560" w:firstLineChars="200"/>
        <w:jc w:val="both"/>
        <w:textAlignment w:val="auto"/>
        <w:rPr>
          <w:rFonts w:hint="default" w:ascii="Times New Roman" w:hAnsi="Times New Roman" w:eastAsia="仿宋_GB2312" w:cs="Times New Roman"/>
          <w:color w:val="auto"/>
          <w:sz w:val="28"/>
          <w:szCs w:val="28"/>
          <w:highlight w:val="none"/>
          <w:lang w:eastAsia="zh-CN"/>
        </w:rPr>
      </w:pPr>
      <w:r>
        <w:rPr>
          <w:rFonts w:hint="eastAsia" w:ascii="Times New Roman" w:hAnsi="Times New Roman" w:eastAsia="仿宋_GB2312" w:cs="Times New Roman"/>
          <w:color w:val="auto"/>
          <w:sz w:val="28"/>
          <w:szCs w:val="28"/>
          <w:highlight w:val="none"/>
          <w:lang w:val="en-US" w:eastAsia="zh-CN"/>
        </w:rPr>
        <w:t>6</w:t>
      </w:r>
      <w:r>
        <w:rPr>
          <w:rFonts w:hint="default" w:ascii="Times New Roman" w:hAnsi="Times New Roman" w:eastAsia="仿宋_GB2312" w:cs="Times New Roman"/>
          <w:color w:val="auto"/>
          <w:sz w:val="28"/>
          <w:szCs w:val="28"/>
          <w:highlight w:val="none"/>
          <w:lang w:val="en-US" w:eastAsia="zh-CN"/>
        </w:rPr>
        <w:t>.</w:t>
      </w:r>
      <w:r>
        <w:rPr>
          <w:rFonts w:hint="default" w:ascii="Times New Roman" w:hAnsi="Times New Roman" w:eastAsia="仿宋_GB2312" w:cs="Times New Roman"/>
          <w:color w:val="auto"/>
          <w:sz w:val="28"/>
          <w:szCs w:val="28"/>
          <w:highlight w:val="none"/>
        </w:rPr>
        <w:t>附件材料：</w:t>
      </w:r>
      <w:r>
        <w:rPr>
          <w:rFonts w:hint="default" w:ascii="Times New Roman" w:hAnsi="Times New Roman" w:eastAsia="仿宋_GB2312" w:cs="Times New Roman"/>
          <w:color w:val="auto"/>
          <w:sz w:val="28"/>
          <w:szCs w:val="28"/>
          <w:highlight w:val="none"/>
          <w:lang w:eastAsia="zh-CN"/>
        </w:rPr>
        <w:t>请</w:t>
      </w:r>
      <w:r>
        <w:rPr>
          <w:rFonts w:hint="default" w:ascii="Times New Roman" w:hAnsi="Times New Roman" w:eastAsia="仿宋_GB2312" w:cs="Times New Roman"/>
          <w:color w:val="auto"/>
          <w:sz w:val="28"/>
          <w:szCs w:val="28"/>
          <w:highlight w:val="none"/>
        </w:rPr>
        <w:t>按照申报指南要求，同步附上</w:t>
      </w:r>
      <w:r>
        <w:rPr>
          <w:rFonts w:hint="default" w:ascii="Times New Roman" w:hAnsi="Times New Roman" w:eastAsia="仿宋_GB2312" w:cs="Times New Roman"/>
          <w:color w:val="auto"/>
          <w:sz w:val="28"/>
          <w:szCs w:val="28"/>
          <w:highlight w:val="none"/>
          <w:lang w:eastAsia="zh-CN"/>
        </w:rPr>
        <w:t>相关</w:t>
      </w:r>
      <w:r>
        <w:rPr>
          <w:rFonts w:hint="default" w:ascii="Times New Roman" w:hAnsi="Times New Roman" w:eastAsia="仿宋_GB2312" w:cs="Times New Roman"/>
          <w:color w:val="auto"/>
          <w:sz w:val="28"/>
          <w:szCs w:val="28"/>
          <w:highlight w:val="none"/>
        </w:rPr>
        <w:t>佐证材料，按顺序整理装订</w:t>
      </w:r>
      <w:r>
        <w:rPr>
          <w:rFonts w:hint="default" w:ascii="Times New Roman" w:hAnsi="Times New Roman" w:eastAsia="仿宋_GB2312" w:cs="Times New Roman"/>
          <w:color w:val="auto"/>
          <w:sz w:val="28"/>
          <w:szCs w:val="28"/>
          <w:highlight w:val="none"/>
          <w:lang w:eastAsia="zh-CN"/>
        </w:rPr>
        <w:t>（双面</w:t>
      </w:r>
      <w:r>
        <w:rPr>
          <w:rFonts w:hint="eastAsia" w:ascii="Times New Roman" w:hAnsi="Times New Roman" w:eastAsia="仿宋_GB2312" w:cs="Times New Roman"/>
          <w:color w:val="auto"/>
          <w:sz w:val="28"/>
          <w:szCs w:val="28"/>
          <w:highlight w:val="none"/>
          <w:lang w:eastAsia="zh-CN"/>
        </w:rPr>
        <w:t>打印</w:t>
      </w:r>
      <w:r>
        <w:rPr>
          <w:rFonts w:hint="default" w:ascii="Times New Roman" w:hAnsi="Times New Roman" w:eastAsia="仿宋_GB2312" w:cs="Times New Roman"/>
          <w:color w:val="auto"/>
          <w:sz w:val="28"/>
          <w:szCs w:val="28"/>
          <w:highlight w:val="none"/>
          <w:lang w:eastAsia="zh-CN"/>
        </w:rPr>
        <w:t>）</w:t>
      </w:r>
      <w:r>
        <w:rPr>
          <w:rFonts w:hint="default" w:ascii="Times New Roman" w:hAnsi="Times New Roman" w:eastAsia="仿宋_GB2312" w:cs="Times New Roman"/>
          <w:color w:val="auto"/>
          <w:sz w:val="28"/>
          <w:szCs w:val="28"/>
          <w:highlight w:val="none"/>
        </w:rPr>
        <w:t>，标注清晰页码</w:t>
      </w:r>
      <w:r>
        <w:rPr>
          <w:rFonts w:hint="default" w:ascii="Times New Roman" w:hAnsi="Times New Roman" w:eastAsia="仿宋_GB2312" w:cs="Times New Roman"/>
          <w:color w:val="auto"/>
          <w:sz w:val="28"/>
          <w:szCs w:val="28"/>
          <w:highlight w:val="none"/>
          <w:lang w:eastAsia="zh-CN"/>
        </w:rPr>
        <w:t>。</w:t>
      </w:r>
    </w:p>
    <w:p w14:paraId="577FFAD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黑体" w:cs="Times New Roman"/>
          <w:sz w:val="32"/>
          <w:szCs w:val="32"/>
        </w:rPr>
        <w:sectPr>
          <w:pgSz w:w="11906" w:h="16838"/>
          <w:pgMar w:top="1440" w:right="1800" w:bottom="1440" w:left="1800" w:header="851" w:footer="992" w:gutter="0"/>
          <w:pgNumType w:fmt="numberInDash"/>
          <w:cols w:space="720" w:num="1"/>
          <w:docGrid w:type="lines" w:linePitch="312" w:charSpace="0"/>
        </w:sectPr>
      </w:pPr>
      <w:r>
        <w:rPr>
          <w:rFonts w:hint="default" w:ascii="Times New Roman" w:hAnsi="Times New Roman" w:eastAsia="黑体" w:cs="Times New Roman"/>
          <w:sz w:val="32"/>
          <w:szCs w:val="32"/>
        </w:rPr>
        <w:br w:type="page"/>
      </w:r>
    </w:p>
    <w:p w14:paraId="06A16C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一、基本信息表</w:t>
      </w:r>
      <w:bookmarkEnd w:id="2"/>
    </w:p>
    <w:tbl>
      <w:tblPr>
        <w:tblStyle w:val="13"/>
        <w:tblW w:w="904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42"/>
        <w:gridCol w:w="539"/>
        <w:gridCol w:w="391"/>
        <w:gridCol w:w="391"/>
        <w:gridCol w:w="392"/>
        <w:gridCol w:w="210"/>
        <w:gridCol w:w="181"/>
        <w:gridCol w:w="391"/>
        <w:gridCol w:w="391"/>
        <w:gridCol w:w="232"/>
        <w:gridCol w:w="160"/>
        <w:gridCol w:w="35"/>
        <w:gridCol w:w="356"/>
        <w:gridCol w:w="349"/>
        <w:gridCol w:w="42"/>
        <w:gridCol w:w="392"/>
        <w:gridCol w:w="391"/>
        <w:gridCol w:w="5"/>
        <w:gridCol w:w="72"/>
        <w:gridCol w:w="314"/>
        <w:gridCol w:w="391"/>
        <w:gridCol w:w="392"/>
        <w:gridCol w:w="391"/>
        <w:gridCol w:w="391"/>
        <w:gridCol w:w="377"/>
        <w:gridCol w:w="23"/>
      </w:tblGrid>
      <w:tr w14:paraId="5FA80F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tcBorders>
              <w:top w:val="single" w:color="auto" w:sz="12" w:space="0"/>
            </w:tcBorders>
            <w:noWrap w:val="0"/>
            <w:vAlign w:val="center"/>
          </w:tcPr>
          <w:p w14:paraId="12FDB99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姓名</w:t>
            </w:r>
          </w:p>
        </w:tc>
        <w:tc>
          <w:tcPr>
            <w:tcW w:w="1923" w:type="dxa"/>
            <w:gridSpan w:val="5"/>
            <w:tcBorders>
              <w:top w:val="single" w:color="auto" w:sz="12" w:space="0"/>
            </w:tcBorders>
            <w:noWrap w:val="0"/>
            <w:vAlign w:val="center"/>
          </w:tcPr>
          <w:p w14:paraId="6F4AB5EB">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许白羽</w:t>
            </w:r>
          </w:p>
        </w:tc>
        <w:tc>
          <w:tcPr>
            <w:tcW w:w="1390" w:type="dxa"/>
            <w:gridSpan w:val="6"/>
            <w:tcBorders>
              <w:top w:val="single" w:color="auto" w:sz="12" w:space="0"/>
            </w:tcBorders>
            <w:noWrap w:val="0"/>
            <w:vAlign w:val="center"/>
          </w:tcPr>
          <w:p w14:paraId="3467E6E6">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性别</w:t>
            </w:r>
          </w:p>
        </w:tc>
        <w:tc>
          <w:tcPr>
            <w:tcW w:w="1607" w:type="dxa"/>
            <w:gridSpan w:val="7"/>
            <w:tcBorders>
              <w:top w:val="single" w:color="auto" w:sz="12" w:space="0"/>
            </w:tcBorders>
            <w:noWrap w:val="0"/>
            <w:vAlign w:val="center"/>
          </w:tcPr>
          <w:p w14:paraId="33E6CF85">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女</w:t>
            </w:r>
          </w:p>
        </w:tc>
        <w:tc>
          <w:tcPr>
            <w:tcW w:w="2279" w:type="dxa"/>
            <w:gridSpan w:val="7"/>
            <w:vMerge w:val="restart"/>
            <w:tcBorders>
              <w:top w:val="single" w:color="auto" w:sz="12" w:space="0"/>
            </w:tcBorders>
            <w:noWrap w:val="0"/>
            <w:vAlign w:val="center"/>
          </w:tcPr>
          <w:p w14:paraId="65B627FC">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drawing>
                <wp:inline distT="0" distB="0" distL="114300" distR="114300">
                  <wp:extent cx="1309370" cy="1967230"/>
                  <wp:effectExtent l="0" t="0" r="5080" b="4445"/>
                  <wp:docPr id="6" name="图片 6" descr="wps_pic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wps_pic_0"/>
                          <pic:cNvPicPr>
                            <a:picLocks noChangeAspect="1"/>
                          </pic:cNvPicPr>
                        </pic:nvPicPr>
                        <pic:blipFill>
                          <a:blip r:embed="rId5"/>
                          <a:stretch>
                            <a:fillRect/>
                          </a:stretch>
                        </pic:blipFill>
                        <pic:spPr>
                          <a:xfrm>
                            <a:off x="0" y="0"/>
                            <a:ext cx="1309370" cy="1967230"/>
                          </a:xfrm>
                          <a:prstGeom prst="rect">
                            <a:avLst/>
                          </a:prstGeom>
                        </pic:spPr>
                      </pic:pic>
                    </a:graphicData>
                  </a:graphic>
                </wp:inline>
              </w:drawing>
            </w:r>
          </w:p>
        </w:tc>
      </w:tr>
      <w:tr w14:paraId="4F2A2D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7CCFA316">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出生日期</w:t>
            </w:r>
          </w:p>
        </w:tc>
        <w:tc>
          <w:tcPr>
            <w:tcW w:w="1923" w:type="dxa"/>
            <w:gridSpan w:val="5"/>
            <w:noWrap w:val="0"/>
            <w:vAlign w:val="center"/>
          </w:tcPr>
          <w:p w14:paraId="1FB2D090">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1988.10</w:t>
            </w:r>
          </w:p>
        </w:tc>
        <w:tc>
          <w:tcPr>
            <w:tcW w:w="1390" w:type="dxa"/>
            <w:gridSpan w:val="6"/>
            <w:noWrap w:val="0"/>
            <w:vAlign w:val="center"/>
          </w:tcPr>
          <w:p w14:paraId="42A25FC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民族</w:t>
            </w:r>
          </w:p>
        </w:tc>
        <w:tc>
          <w:tcPr>
            <w:tcW w:w="1607" w:type="dxa"/>
            <w:gridSpan w:val="7"/>
            <w:noWrap w:val="0"/>
            <w:vAlign w:val="center"/>
          </w:tcPr>
          <w:p w14:paraId="533D895E">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汉族</w:t>
            </w:r>
          </w:p>
        </w:tc>
        <w:tc>
          <w:tcPr>
            <w:tcW w:w="2279" w:type="dxa"/>
            <w:gridSpan w:val="7"/>
            <w:vMerge w:val="continue"/>
            <w:noWrap w:val="0"/>
            <w:vAlign w:val="center"/>
          </w:tcPr>
          <w:p w14:paraId="6A54D9C5">
            <w:pPr>
              <w:jc w:val="center"/>
              <w:rPr>
                <w:rFonts w:hint="default" w:ascii="Times New Roman" w:hAnsi="Times New Roman" w:eastAsia="宋体" w:cs="Times New Roman"/>
                <w:kern w:val="2"/>
                <w:sz w:val="24"/>
                <w:szCs w:val="24"/>
                <w:lang w:val="en-US" w:eastAsia="zh-CN" w:bidi="ar-SA"/>
              </w:rPr>
            </w:pPr>
          </w:p>
        </w:tc>
      </w:tr>
      <w:tr w14:paraId="03885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1F3C243E">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政治面貌</w:t>
            </w:r>
          </w:p>
        </w:tc>
        <w:tc>
          <w:tcPr>
            <w:tcW w:w="1923" w:type="dxa"/>
            <w:gridSpan w:val="5"/>
            <w:noWrap w:val="0"/>
            <w:vAlign w:val="center"/>
          </w:tcPr>
          <w:p w14:paraId="031E556F">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中共党员</w:t>
            </w:r>
          </w:p>
        </w:tc>
        <w:tc>
          <w:tcPr>
            <w:tcW w:w="1390" w:type="dxa"/>
            <w:gridSpan w:val="6"/>
            <w:noWrap w:val="0"/>
            <w:vAlign w:val="center"/>
          </w:tcPr>
          <w:p w14:paraId="16A1B5EE">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学历学位</w:t>
            </w:r>
          </w:p>
        </w:tc>
        <w:tc>
          <w:tcPr>
            <w:tcW w:w="1607" w:type="dxa"/>
            <w:gridSpan w:val="7"/>
            <w:noWrap w:val="0"/>
            <w:vAlign w:val="center"/>
          </w:tcPr>
          <w:p w14:paraId="73498E5C">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硕士</w:t>
            </w:r>
          </w:p>
        </w:tc>
        <w:tc>
          <w:tcPr>
            <w:tcW w:w="2279" w:type="dxa"/>
            <w:gridSpan w:val="7"/>
            <w:vMerge w:val="continue"/>
            <w:noWrap w:val="0"/>
            <w:vAlign w:val="center"/>
          </w:tcPr>
          <w:p w14:paraId="1A05B4AE">
            <w:pPr>
              <w:jc w:val="center"/>
              <w:rPr>
                <w:rFonts w:hint="default" w:ascii="Times New Roman" w:hAnsi="Times New Roman" w:eastAsia="宋体" w:cs="Times New Roman"/>
                <w:kern w:val="2"/>
                <w:sz w:val="24"/>
                <w:szCs w:val="24"/>
                <w:lang w:val="en-US" w:eastAsia="zh-CN" w:bidi="ar-SA"/>
              </w:rPr>
            </w:pPr>
          </w:p>
        </w:tc>
      </w:tr>
      <w:tr w14:paraId="30D5CF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66A75E9F">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专业技术职称</w:t>
            </w:r>
          </w:p>
          <w:p w14:paraId="79F96A46">
            <w:pPr>
              <w:jc w:val="center"/>
              <w:rPr>
                <w:rFonts w:hint="eastAsia" w:ascii="Times New Roman" w:hAnsi="Times New Roman" w:eastAsia="黑体" w:cs="黑体"/>
                <w:spacing w:val="-20"/>
                <w:kern w:val="2"/>
                <w:sz w:val="24"/>
                <w:szCs w:val="24"/>
                <w:lang w:val="en-US" w:eastAsia="zh-CN" w:bidi="ar-SA"/>
              </w:rPr>
            </w:pPr>
            <w:r>
              <w:rPr>
                <w:rFonts w:hint="eastAsia" w:ascii="Times New Roman" w:hAnsi="Times New Roman" w:eastAsia="黑体" w:cs="黑体"/>
                <w:spacing w:val="-20"/>
                <w:kern w:val="2"/>
                <w:sz w:val="24"/>
                <w:szCs w:val="24"/>
                <w:lang w:val="en-US" w:eastAsia="zh-CN" w:bidi="ar-SA"/>
              </w:rPr>
              <w:t>或职业资格</w:t>
            </w:r>
          </w:p>
        </w:tc>
        <w:tc>
          <w:tcPr>
            <w:tcW w:w="1923" w:type="dxa"/>
            <w:gridSpan w:val="5"/>
            <w:noWrap w:val="0"/>
            <w:vAlign w:val="center"/>
          </w:tcPr>
          <w:p w14:paraId="4AA19152">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副高级</w:t>
            </w:r>
          </w:p>
        </w:tc>
        <w:tc>
          <w:tcPr>
            <w:tcW w:w="1390" w:type="dxa"/>
            <w:gridSpan w:val="6"/>
            <w:noWrap w:val="0"/>
            <w:vAlign w:val="center"/>
          </w:tcPr>
          <w:p w14:paraId="40D59A71">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职务</w:t>
            </w:r>
          </w:p>
        </w:tc>
        <w:tc>
          <w:tcPr>
            <w:tcW w:w="1607" w:type="dxa"/>
            <w:gridSpan w:val="7"/>
            <w:noWrap w:val="0"/>
            <w:vAlign w:val="center"/>
          </w:tcPr>
          <w:p w14:paraId="6DB1A59D">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技术总监</w:t>
            </w:r>
          </w:p>
        </w:tc>
        <w:tc>
          <w:tcPr>
            <w:tcW w:w="2279" w:type="dxa"/>
            <w:gridSpan w:val="7"/>
            <w:vMerge w:val="continue"/>
            <w:noWrap w:val="0"/>
            <w:vAlign w:val="center"/>
          </w:tcPr>
          <w:p w14:paraId="4D7ED397">
            <w:pPr>
              <w:jc w:val="center"/>
              <w:rPr>
                <w:rFonts w:hint="default" w:ascii="Times New Roman" w:hAnsi="Times New Roman" w:eastAsia="宋体" w:cs="Times New Roman"/>
                <w:kern w:val="2"/>
                <w:sz w:val="24"/>
                <w:szCs w:val="24"/>
                <w:lang w:val="en-US" w:eastAsia="zh-CN" w:bidi="ar-SA"/>
              </w:rPr>
            </w:pPr>
          </w:p>
        </w:tc>
      </w:tr>
      <w:tr w14:paraId="433018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0EE9AF90">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参加工作时间</w:t>
            </w:r>
          </w:p>
        </w:tc>
        <w:tc>
          <w:tcPr>
            <w:tcW w:w="1923" w:type="dxa"/>
            <w:gridSpan w:val="5"/>
            <w:noWrap w:val="0"/>
            <w:vAlign w:val="center"/>
          </w:tcPr>
          <w:p w14:paraId="305481A1">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2013年2月</w:t>
            </w:r>
          </w:p>
        </w:tc>
        <w:tc>
          <w:tcPr>
            <w:tcW w:w="1390" w:type="dxa"/>
            <w:gridSpan w:val="6"/>
            <w:noWrap w:val="0"/>
            <w:vAlign w:val="center"/>
          </w:tcPr>
          <w:p w14:paraId="14B55D79">
            <w:pPr>
              <w:snapToGrid w:val="0"/>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现工作</w:t>
            </w:r>
          </w:p>
          <w:p w14:paraId="09ACBA89">
            <w:pPr>
              <w:snapToGrid w:val="0"/>
              <w:jc w:val="center"/>
              <w:rPr>
                <w:rFonts w:hint="eastAsia" w:ascii="Times New Roman" w:hAnsi="Times New Roman" w:eastAsia="黑体" w:cs="黑体"/>
                <w:spacing w:val="-16"/>
                <w:kern w:val="2"/>
                <w:sz w:val="24"/>
                <w:szCs w:val="24"/>
                <w:lang w:val="en-US" w:eastAsia="zh-CN" w:bidi="ar-SA"/>
              </w:rPr>
            </w:pPr>
            <w:r>
              <w:rPr>
                <w:rFonts w:hint="eastAsia" w:ascii="Times New Roman" w:hAnsi="Times New Roman" w:eastAsia="黑体" w:cs="黑体"/>
                <w:kern w:val="2"/>
                <w:sz w:val="24"/>
                <w:szCs w:val="24"/>
                <w:lang w:val="en-US" w:eastAsia="zh-CN" w:bidi="ar-SA"/>
              </w:rPr>
              <w:t>专业领域</w:t>
            </w:r>
          </w:p>
        </w:tc>
        <w:tc>
          <w:tcPr>
            <w:tcW w:w="1607" w:type="dxa"/>
            <w:gridSpan w:val="7"/>
            <w:noWrap w:val="0"/>
            <w:vAlign w:val="center"/>
          </w:tcPr>
          <w:p w14:paraId="2113991E">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新材料开发与环保水处理工程应用</w:t>
            </w:r>
          </w:p>
        </w:tc>
        <w:tc>
          <w:tcPr>
            <w:tcW w:w="2279" w:type="dxa"/>
            <w:gridSpan w:val="7"/>
            <w:vMerge w:val="continue"/>
            <w:noWrap w:val="0"/>
            <w:vAlign w:val="center"/>
          </w:tcPr>
          <w:p w14:paraId="65BC7ED4">
            <w:pPr>
              <w:jc w:val="center"/>
              <w:rPr>
                <w:rFonts w:hint="default" w:ascii="Times New Roman" w:hAnsi="Times New Roman" w:eastAsia="宋体" w:cs="Times New Roman"/>
                <w:kern w:val="2"/>
                <w:sz w:val="24"/>
                <w:szCs w:val="24"/>
                <w:lang w:val="en-US" w:eastAsia="zh-CN" w:bidi="ar-SA"/>
              </w:rPr>
            </w:pPr>
          </w:p>
        </w:tc>
      </w:tr>
      <w:tr w14:paraId="55D9D6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00BFF1B3">
            <w:pPr>
              <w:jc w:val="center"/>
              <w:rPr>
                <w:rFonts w:hint="eastAsia" w:ascii="Times New Roman" w:hAnsi="Times New Roman" w:eastAsia="黑体" w:cs="黑体"/>
                <w:kern w:val="2"/>
                <w:sz w:val="24"/>
                <w:szCs w:val="24"/>
                <w:highlight w:val="none"/>
                <w:lang w:val="en-US" w:eastAsia="zh-CN" w:bidi="ar-SA"/>
              </w:rPr>
            </w:pPr>
            <w:r>
              <w:rPr>
                <w:rFonts w:hint="eastAsia" w:ascii="Times New Roman" w:hAnsi="Times New Roman" w:eastAsia="黑体" w:cs="黑体"/>
                <w:kern w:val="2"/>
                <w:sz w:val="24"/>
                <w:szCs w:val="24"/>
                <w:highlight w:val="none"/>
                <w:lang w:val="en-US" w:eastAsia="zh-CN" w:bidi="ar-SA"/>
              </w:rPr>
              <w:t>当前劳动（聘用）合同起止时间</w:t>
            </w:r>
          </w:p>
        </w:tc>
        <w:tc>
          <w:tcPr>
            <w:tcW w:w="1923" w:type="dxa"/>
            <w:gridSpan w:val="5"/>
            <w:noWrap w:val="0"/>
            <w:vAlign w:val="center"/>
          </w:tcPr>
          <w:p w14:paraId="02304C19">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2024.5.20-2029.5.19</w:t>
            </w:r>
          </w:p>
        </w:tc>
        <w:tc>
          <w:tcPr>
            <w:tcW w:w="1390" w:type="dxa"/>
            <w:gridSpan w:val="6"/>
            <w:noWrap w:val="0"/>
            <w:vAlign w:val="center"/>
          </w:tcPr>
          <w:p w14:paraId="295288C8">
            <w:pPr>
              <w:jc w:val="center"/>
              <w:rPr>
                <w:rFonts w:hint="eastAsia" w:ascii="Times New Roman" w:hAnsi="Times New Roman" w:eastAsia="黑体" w:cs="黑体"/>
                <w:kern w:val="2"/>
                <w:sz w:val="24"/>
                <w:szCs w:val="24"/>
                <w:highlight w:val="none"/>
                <w:lang w:val="en-US" w:eastAsia="zh-CN" w:bidi="ar-SA"/>
              </w:rPr>
            </w:pPr>
            <w:r>
              <w:rPr>
                <w:rFonts w:hint="eastAsia" w:ascii="Times New Roman" w:hAnsi="Times New Roman" w:eastAsia="黑体" w:cs="黑体"/>
                <w:kern w:val="2"/>
                <w:sz w:val="22"/>
                <w:szCs w:val="22"/>
                <w:highlight w:val="none"/>
                <w:lang w:val="en-US" w:eastAsia="zh-CN" w:bidi="ar-SA"/>
              </w:rPr>
              <w:t>在现专业领域工作时间</w:t>
            </w:r>
          </w:p>
        </w:tc>
        <w:tc>
          <w:tcPr>
            <w:tcW w:w="3886" w:type="dxa"/>
            <w:gridSpan w:val="14"/>
            <w:noWrap w:val="0"/>
            <w:vAlign w:val="center"/>
          </w:tcPr>
          <w:p w14:paraId="264BB0EE">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13年</w:t>
            </w:r>
          </w:p>
        </w:tc>
      </w:tr>
      <w:tr w14:paraId="33C27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37D4598A">
            <w:pPr>
              <w:jc w:val="center"/>
              <w:rPr>
                <w:rFonts w:hint="eastAsia" w:ascii="Times New Roman" w:hAnsi="Times New Roman" w:eastAsia="黑体" w:cs="黑体"/>
                <w:kern w:val="2"/>
                <w:sz w:val="24"/>
                <w:szCs w:val="24"/>
                <w:highlight w:val="none"/>
                <w:lang w:val="en-US" w:eastAsia="zh-CN" w:bidi="ar-SA"/>
              </w:rPr>
            </w:pPr>
            <w:r>
              <w:rPr>
                <w:rFonts w:hint="eastAsia" w:ascii="Times New Roman" w:hAnsi="Times New Roman" w:eastAsia="黑体" w:cs="黑体"/>
                <w:kern w:val="2"/>
                <w:sz w:val="24"/>
                <w:szCs w:val="24"/>
                <w:highlight w:val="none"/>
                <w:lang w:val="en-US" w:eastAsia="zh-CN" w:bidi="ar-SA"/>
              </w:rPr>
              <w:t>工作单位</w:t>
            </w:r>
          </w:p>
        </w:tc>
        <w:tc>
          <w:tcPr>
            <w:tcW w:w="2495" w:type="dxa"/>
            <w:gridSpan w:val="7"/>
            <w:noWrap w:val="0"/>
            <w:vAlign w:val="center"/>
          </w:tcPr>
          <w:p w14:paraId="091C19B5">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德蓝水技术股份有限公司</w:t>
            </w:r>
          </w:p>
        </w:tc>
        <w:tc>
          <w:tcPr>
            <w:tcW w:w="2353" w:type="dxa"/>
            <w:gridSpan w:val="10"/>
            <w:noWrap w:val="0"/>
            <w:vAlign w:val="center"/>
          </w:tcPr>
          <w:p w14:paraId="1B0F03C2">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黑体" w:cs="黑体"/>
                <w:kern w:val="2"/>
                <w:sz w:val="24"/>
                <w:szCs w:val="24"/>
                <w:highlight w:val="none"/>
                <w:lang w:val="en-US" w:eastAsia="zh-CN" w:bidi="ar-SA"/>
              </w:rPr>
              <w:t>单位性质</w:t>
            </w:r>
          </w:p>
        </w:tc>
        <w:tc>
          <w:tcPr>
            <w:tcW w:w="2351" w:type="dxa"/>
            <w:gridSpan w:val="8"/>
            <w:noWrap w:val="0"/>
            <w:vAlign w:val="center"/>
          </w:tcPr>
          <w:p w14:paraId="2C8B003F">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民营</w:t>
            </w:r>
          </w:p>
        </w:tc>
      </w:tr>
      <w:tr w14:paraId="6875A4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115C521E">
            <w:pPr>
              <w:jc w:val="center"/>
              <w:rPr>
                <w:rFonts w:hint="eastAsia" w:ascii="Times New Roman" w:hAnsi="Times New Roman" w:eastAsia="黑体" w:cs="黑体"/>
                <w:kern w:val="2"/>
                <w:sz w:val="24"/>
                <w:szCs w:val="24"/>
                <w:highlight w:val="none"/>
                <w:lang w:val="en-US" w:eastAsia="zh-CN" w:bidi="ar-SA"/>
              </w:rPr>
            </w:pPr>
            <w:r>
              <w:rPr>
                <w:rFonts w:hint="eastAsia" w:ascii="Times New Roman" w:hAnsi="Times New Roman" w:eastAsia="黑体" w:cs="黑体"/>
                <w:kern w:val="2"/>
                <w:sz w:val="24"/>
                <w:szCs w:val="24"/>
                <w:highlight w:val="none"/>
                <w:lang w:val="en-US" w:eastAsia="zh-CN" w:bidi="ar-SA"/>
              </w:rPr>
              <w:t>申报项目类别</w:t>
            </w:r>
          </w:p>
        </w:tc>
        <w:tc>
          <w:tcPr>
            <w:tcW w:w="2495" w:type="dxa"/>
            <w:gridSpan w:val="7"/>
            <w:noWrap w:val="0"/>
            <w:vAlign w:val="center"/>
          </w:tcPr>
          <w:p w14:paraId="7E3DED98">
            <w:pPr>
              <w:jc w:val="both"/>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全职</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柔性</w:t>
            </w:r>
            <w:r>
              <w:rPr>
                <w:rFonts w:hint="default" w:ascii="Times New Roman" w:hAnsi="Times New Roman" w:eastAsia="仿宋" w:cs="Times New Roman"/>
                <w:b/>
                <w:color w:val="auto"/>
                <w:kern w:val="0"/>
                <w:sz w:val="28"/>
                <w:szCs w:val="28"/>
                <w:highlight w:val="none"/>
                <w:lang w:eastAsia="zh-CN"/>
              </w:rPr>
              <w:t>□</w:t>
            </w:r>
            <w:r>
              <w:rPr>
                <w:rFonts w:hint="default" w:ascii="Times New Roman" w:hAnsi="Times New Roman" w:eastAsia="仿宋" w:cs="Times New Roman"/>
                <w:kern w:val="2"/>
                <w:sz w:val="24"/>
                <w:szCs w:val="32"/>
                <w:highlight w:val="none"/>
                <w:lang w:val="en-US" w:eastAsia="zh-CN" w:bidi="ar-SA"/>
              </w:rPr>
              <w:t>培养</w:t>
            </w:r>
          </w:p>
        </w:tc>
        <w:tc>
          <w:tcPr>
            <w:tcW w:w="2353" w:type="dxa"/>
            <w:gridSpan w:val="10"/>
            <w:noWrap w:val="0"/>
            <w:vAlign w:val="center"/>
          </w:tcPr>
          <w:p w14:paraId="24C8A871">
            <w:pPr>
              <w:jc w:val="center"/>
              <w:rPr>
                <w:rFonts w:hint="default" w:ascii="Times New Roman" w:hAnsi="Times New Roman" w:eastAsia="宋体" w:cs="Times New Roman"/>
                <w:kern w:val="2"/>
                <w:sz w:val="24"/>
                <w:szCs w:val="24"/>
                <w:highlight w:val="none"/>
                <w:lang w:val="en-US" w:eastAsia="zh-CN" w:bidi="ar-SA"/>
              </w:rPr>
            </w:pPr>
            <w:r>
              <w:rPr>
                <w:rFonts w:hint="default" w:ascii="Times New Roman" w:hAnsi="Times New Roman" w:eastAsia="黑体" w:cs="黑体"/>
                <w:kern w:val="2"/>
                <w:sz w:val="24"/>
                <w:szCs w:val="24"/>
                <w:highlight w:val="none"/>
                <w:lang w:val="en-US" w:eastAsia="zh-CN" w:bidi="ar-SA"/>
              </w:rPr>
              <w:t>当前在疆工作年限</w:t>
            </w:r>
          </w:p>
        </w:tc>
        <w:tc>
          <w:tcPr>
            <w:tcW w:w="2351" w:type="dxa"/>
            <w:gridSpan w:val="8"/>
            <w:noWrap w:val="0"/>
            <w:vAlign w:val="center"/>
          </w:tcPr>
          <w:p w14:paraId="1AB167F4">
            <w:pPr>
              <w:jc w:val="center"/>
              <w:rPr>
                <w:rFonts w:hint="default" w:ascii="Times New Roman" w:hAnsi="Times New Roman" w:eastAsia="宋体"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t>13年</w:t>
            </w:r>
          </w:p>
        </w:tc>
      </w:tr>
      <w:tr w14:paraId="2BC571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7FA35FDA">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身份证号码</w:t>
            </w:r>
          </w:p>
        </w:tc>
        <w:tc>
          <w:tcPr>
            <w:tcW w:w="539" w:type="dxa"/>
            <w:noWrap w:val="0"/>
            <w:vAlign w:val="center"/>
          </w:tcPr>
          <w:p w14:paraId="58E39332">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6</w:t>
            </w:r>
          </w:p>
        </w:tc>
        <w:tc>
          <w:tcPr>
            <w:tcW w:w="391" w:type="dxa"/>
            <w:noWrap w:val="0"/>
            <w:vAlign w:val="center"/>
          </w:tcPr>
          <w:p w14:paraId="72C17020">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5</w:t>
            </w:r>
          </w:p>
        </w:tc>
        <w:tc>
          <w:tcPr>
            <w:tcW w:w="391" w:type="dxa"/>
            <w:noWrap w:val="0"/>
            <w:vAlign w:val="center"/>
          </w:tcPr>
          <w:p w14:paraId="2DBF8A16">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0</w:t>
            </w:r>
          </w:p>
        </w:tc>
        <w:tc>
          <w:tcPr>
            <w:tcW w:w="392" w:type="dxa"/>
            <w:noWrap w:val="0"/>
            <w:vAlign w:val="center"/>
          </w:tcPr>
          <w:p w14:paraId="4D12062D">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p>
        </w:tc>
        <w:tc>
          <w:tcPr>
            <w:tcW w:w="391" w:type="dxa"/>
            <w:gridSpan w:val="2"/>
            <w:noWrap w:val="0"/>
            <w:vAlign w:val="center"/>
          </w:tcPr>
          <w:p w14:paraId="78C446F8">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0</w:t>
            </w:r>
          </w:p>
        </w:tc>
        <w:tc>
          <w:tcPr>
            <w:tcW w:w="391" w:type="dxa"/>
            <w:noWrap w:val="0"/>
            <w:vAlign w:val="center"/>
          </w:tcPr>
          <w:p w14:paraId="2D736860">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8</w:t>
            </w:r>
          </w:p>
        </w:tc>
        <w:tc>
          <w:tcPr>
            <w:tcW w:w="391" w:type="dxa"/>
            <w:noWrap w:val="0"/>
            <w:vAlign w:val="center"/>
          </w:tcPr>
          <w:p w14:paraId="77C64821">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p>
        </w:tc>
        <w:tc>
          <w:tcPr>
            <w:tcW w:w="392" w:type="dxa"/>
            <w:gridSpan w:val="2"/>
            <w:noWrap w:val="0"/>
            <w:vAlign w:val="center"/>
          </w:tcPr>
          <w:p w14:paraId="36D1E3B4">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9</w:t>
            </w:r>
          </w:p>
        </w:tc>
        <w:tc>
          <w:tcPr>
            <w:tcW w:w="391" w:type="dxa"/>
            <w:gridSpan w:val="2"/>
            <w:noWrap w:val="0"/>
            <w:vAlign w:val="center"/>
          </w:tcPr>
          <w:p w14:paraId="7DCEABB4">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8</w:t>
            </w:r>
          </w:p>
        </w:tc>
        <w:tc>
          <w:tcPr>
            <w:tcW w:w="391" w:type="dxa"/>
            <w:gridSpan w:val="2"/>
            <w:noWrap w:val="0"/>
            <w:vAlign w:val="center"/>
          </w:tcPr>
          <w:p w14:paraId="4DD01097">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8</w:t>
            </w:r>
          </w:p>
        </w:tc>
        <w:tc>
          <w:tcPr>
            <w:tcW w:w="392" w:type="dxa"/>
            <w:noWrap w:val="0"/>
            <w:vAlign w:val="center"/>
          </w:tcPr>
          <w:p w14:paraId="2F6A397C">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p>
        </w:tc>
        <w:tc>
          <w:tcPr>
            <w:tcW w:w="391" w:type="dxa"/>
            <w:noWrap w:val="0"/>
            <w:vAlign w:val="center"/>
          </w:tcPr>
          <w:p w14:paraId="2B3ED733">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0</w:t>
            </w:r>
          </w:p>
        </w:tc>
        <w:tc>
          <w:tcPr>
            <w:tcW w:w="391" w:type="dxa"/>
            <w:gridSpan w:val="3"/>
            <w:noWrap w:val="0"/>
            <w:vAlign w:val="center"/>
          </w:tcPr>
          <w:p w14:paraId="661A4162">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p>
        </w:tc>
        <w:tc>
          <w:tcPr>
            <w:tcW w:w="391" w:type="dxa"/>
            <w:noWrap w:val="0"/>
            <w:vAlign w:val="center"/>
          </w:tcPr>
          <w:p w14:paraId="5CD8E197">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3</w:t>
            </w:r>
          </w:p>
        </w:tc>
        <w:tc>
          <w:tcPr>
            <w:tcW w:w="392" w:type="dxa"/>
            <w:noWrap w:val="0"/>
            <w:vAlign w:val="center"/>
          </w:tcPr>
          <w:p w14:paraId="721384C6">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1</w:t>
            </w:r>
          </w:p>
        </w:tc>
        <w:tc>
          <w:tcPr>
            <w:tcW w:w="391" w:type="dxa"/>
            <w:noWrap w:val="0"/>
            <w:vAlign w:val="center"/>
          </w:tcPr>
          <w:p w14:paraId="5F3D0647">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4</w:t>
            </w:r>
          </w:p>
        </w:tc>
        <w:tc>
          <w:tcPr>
            <w:tcW w:w="391" w:type="dxa"/>
            <w:noWrap w:val="0"/>
            <w:vAlign w:val="center"/>
          </w:tcPr>
          <w:p w14:paraId="326DB058">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2</w:t>
            </w:r>
          </w:p>
        </w:tc>
        <w:tc>
          <w:tcPr>
            <w:tcW w:w="400" w:type="dxa"/>
            <w:gridSpan w:val="2"/>
            <w:noWrap w:val="0"/>
            <w:vAlign w:val="center"/>
          </w:tcPr>
          <w:p w14:paraId="47522F02">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9</w:t>
            </w:r>
          </w:p>
        </w:tc>
      </w:tr>
      <w:tr w14:paraId="654FF0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5E6714D0">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通讯地址</w:t>
            </w:r>
          </w:p>
        </w:tc>
        <w:tc>
          <w:tcPr>
            <w:tcW w:w="7199" w:type="dxa"/>
            <w:gridSpan w:val="25"/>
            <w:noWrap w:val="0"/>
            <w:vAlign w:val="center"/>
          </w:tcPr>
          <w:p w14:paraId="51F54641">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新疆乌鲁木齐市高新区北区工业园蓝天路216号</w:t>
            </w:r>
          </w:p>
        </w:tc>
      </w:tr>
      <w:tr w14:paraId="361A77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842" w:type="dxa"/>
            <w:noWrap w:val="0"/>
            <w:vAlign w:val="center"/>
          </w:tcPr>
          <w:p w14:paraId="0E4B1A6C">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联系电话</w:t>
            </w:r>
          </w:p>
          <w:p w14:paraId="6B4BD9C3">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（座机）</w:t>
            </w:r>
          </w:p>
        </w:tc>
        <w:tc>
          <w:tcPr>
            <w:tcW w:w="3118" w:type="dxa"/>
            <w:gridSpan w:val="9"/>
            <w:noWrap w:val="0"/>
            <w:vAlign w:val="center"/>
          </w:tcPr>
          <w:p w14:paraId="085F0050">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0991-6767711</w:t>
            </w:r>
          </w:p>
        </w:tc>
        <w:tc>
          <w:tcPr>
            <w:tcW w:w="900" w:type="dxa"/>
            <w:gridSpan w:val="4"/>
            <w:noWrap w:val="0"/>
            <w:vAlign w:val="center"/>
          </w:tcPr>
          <w:p w14:paraId="1E8DC27B">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电子邮箱</w:t>
            </w:r>
          </w:p>
        </w:tc>
        <w:tc>
          <w:tcPr>
            <w:tcW w:w="3181" w:type="dxa"/>
            <w:gridSpan w:val="12"/>
            <w:noWrap w:val="0"/>
            <w:vAlign w:val="center"/>
          </w:tcPr>
          <w:p w14:paraId="7951EB4F">
            <w:pPr>
              <w:jc w:val="center"/>
              <w:rPr>
                <w:rFonts w:hint="default" w:ascii="Times New Roman" w:hAnsi="Times New Roman" w:eastAsia="宋体" w:cs="Times New Roman"/>
                <w:kern w:val="2"/>
                <w:sz w:val="24"/>
                <w:szCs w:val="24"/>
                <w:lang w:val="en-US" w:eastAsia="zh-CN" w:bidi="ar-SA"/>
              </w:rPr>
            </w:pPr>
            <w:r>
              <w:rPr>
                <w:rFonts w:hint="eastAsia" w:ascii="Times New Roman" w:hAnsi="Times New Roman" w:cs="Times New Roman"/>
                <w:kern w:val="2"/>
                <w:sz w:val="24"/>
                <w:szCs w:val="24"/>
                <w:lang w:val="en-US" w:eastAsia="zh-CN" w:bidi="ar-SA"/>
              </w:rPr>
              <w:t>295065024@qq.com</w:t>
            </w:r>
          </w:p>
        </w:tc>
      </w:tr>
      <w:tr w14:paraId="1BE7F5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9041" w:type="dxa"/>
            <w:gridSpan w:val="26"/>
            <w:noWrap w:val="0"/>
            <w:vAlign w:val="center"/>
          </w:tcPr>
          <w:p w14:paraId="279BDEA5">
            <w:pPr>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黑体" w:cs="黑体"/>
                <w:kern w:val="2"/>
                <w:sz w:val="24"/>
                <w:szCs w:val="24"/>
                <w:lang w:val="en-US" w:eastAsia="zh-CN" w:bidi="ar-SA"/>
              </w:rPr>
              <w:t>主要经历</w:t>
            </w:r>
          </w:p>
        </w:tc>
      </w:tr>
      <w:tr w14:paraId="3A298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670" w:hRule="atLeast"/>
          <w:jc w:val="center"/>
        </w:trPr>
        <w:tc>
          <w:tcPr>
            <w:tcW w:w="1842" w:type="dxa"/>
            <w:noWrap w:val="0"/>
            <w:vAlign w:val="center"/>
          </w:tcPr>
          <w:p w14:paraId="741CE321">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起止时间</w:t>
            </w:r>
          </w:p>
        </w:tc>
        <w:tc>
          <w:tcPr>
            <w:tcW w:w="7176" w:type="dxa"/>
            <w:gridSpan w:val="24"/>
            <w:noWrap w:val="0"/>
            <w:vAlign w:val="center"/>
          </w:tcPr>
          <w:p w14:paraId="50A468E6">
            <w:pPr>
              <w:jc w:val="center"/>
              <w:rPr>
                <w:rFonts w:hint="default" w:ascii="Times New Roman" w:hAnsi="Times New Roman" w:eastAsia="黑体" w:cs="黑体"/>
                <w:kern w:val="2"/>
                <w:sz w:val="24"/>
                <w:szCs w:val="24"/>
                <w:lang w:val="en-US" w:eastAsia="zh-CN" w:bidi="ar-SA"/>
              </w:rPr>
            </w:pPr>
            <w:r>
              <w:rPr>
                <w:rFonts w:hint="default" w:ascii="Times New Roman" w:hAnsi="Times New Roman" w:eastAsia="黑体" w:cs="黑体"/>
                <w:kern w:val="2"/>
                <w:sz w:val="24"/>
                <w:szCs w:val="24"/>
                <w:lang w:val="en-US" w:eastAsia="zh-CN" w:bidi="ar-SA"/>
              </w:rPr>
              <w:t>在何单位学习、工作</w:t>
            </w:r>
          </w:p>
        </w:tc>
      </w:tr>
      <w:tr w14:paraId="0FBCF6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3" w:type="dxa"/>
          <w:cantSplit/>
          <w:trHeight w:val="2360" w:hRule="atLeast"/>
          <w:jc w:val="center"/>
        </w:trPr>
        <w:tc>
          <w:tcPr>
            <w:tcW w:w="1842" w:type="dxa"/>
            <w:noWrap w:val="0"/>
            <w:vAlign w:val="top"/>
          </w:tcPr>
          <w:p w14:paraId="0CBDF24A">
            <w:pPr>
              <w:rPr>
                <w:rFonts w:hint="default" w:ascii="Times New Roman" w:hAnsi="Times New Roman" w:eastAsia="宋体" w:cs="Times New Roman"/>
                <w:color w:val="auto"/>
                <w:kern w:val="2"/>
                <w:sz w:val="22"/>
                <w:szCs w:val="22"/>
                <w:lang w:val="en-US" w:eastAsia="zh-CN" w:bidi="ar-SA"/>
              </w:rPr>
            </w:pPr>
          </w:p>
          <w:p w14:paraId="106C85EE">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1998.07--2000.06--</w:t>
            </w:r>
          </w:p>
          <w:p w14:paraId="4805FCE8">
            <w:pPr>
              <w:rPr>
                <w:rFonts w:hint="default" w:ascii="Times New Roman" w:hAnsi="Times New Roman" w:eastAsia="宋体" w:cs="Times New Roman"/>
                <w:color w:val="auto"/>
                <w:kern w:val="2"/>
                <w:sz w:val="22"/>
                <w:szCs w:val="22"/>
                <w:lang w:val="en-US" w:eastAsia="zh-CN" w:bidi="ar-SA"/>
              </w:rPr>
            </w:pPr>
            <w:r>
              <w:rPr>
                <w:rFonts w:hint="default" w:ascii="Times New Roman" w:hAnsi="Times New Roman" w:eastAsia="宋体" w:cs="Times New Roman"/>
                <w:color w:val="auto"/>
                <w:kern w:val="2"/>
                <w:sz w:val="22"/>
                <w:szCs w:val="22"/>
                <w:lang w:val="en-US" w:eastAsia="zh-CN" w:bidi="ar-SA"/>
              </w:rPr>
              <w:t>2000.06--2006.07</w:t>
            </w:r>
          </w:p>
          <w:p w14:paraId="5DD5FD71">
            <w:pPr>
              <w:rPr>
                <w:rFonts w:hint="default" w:ascii="Times New Roman" w:hAnsi="Times New Roman" w:eastAsia="宋体" w:cs="Times New Roman"/>
                <w:color w:val="auto"/>
                <w:kern w:val="2"/>
                <w:sz w:val="24"/>
                <w:szCs w:val="24"/>
                <w:lang w:val="en-US" w:eastAsia="zh-CN" w:bidi="ar-SA"/>
              </w:rPr>
            </w:pPr>
          </w:p>
          <w:p w14:paraId="5295F1C5">
            <w:pPr>
              <w:rPr>
                <w:rFonts w:hint="default" w:ascii="Times New Roman" w:hAnsi="Times New Roman" w:eastAsia="宋体" w:cs="Times New Roman"/>
                <w:color w:val="auto"/>
                <w:kern w:val="2"/>
                <w:sz w:val="24"/>
                <w:szCs w:val="24"/>
                <w:lang w:val="en-US" w:eastAsia="zh-CN" w:bidi="ar-SA"/>
              </w:rPr>
            </w:pPr>
          </w:p>
        </w:tc>
        <w:tc>
          <w:tcPr>
            <w:tcW w:w="7176" w:type="dxa"/>
            <w:gridSpan w:val="24"/>
            <w:noWrap w:val="0"/>
            <w:vAlign w:val="top"/>
          </w:tcPr>
          <w:p w14:paraId="3975B04D">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default" w:ascii="宋体" w:hAnsi="宋体"/>
                <w:sz w:val="24"/>
                <w:szCs w:val="24"/>
                <w:lang w:val="en-US" w:eastAsia="zh-CN"/>
              </w:rPr>
            </w:pPr>
            <w:r>
              <w:rPr>
                <w:rFonts w:hint="eastAsia" w:ascii="宋体" w:hAnsi="宋体"/>
                <w:sz w:val="24"/>
                <w:szCs w:val="24"/>
                <w:lang w:val="en-US" w:eastAsia="zh-CN"/>
              </w:rPr>
              <w:t>2006年9月-2010年6月：天津理工大学，环境工程专业工学学士</w:t>
            </w:r>
          </w:p>
          <w:p w14:paraId="414DDCAF">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default" w:ascii="宋体" w:hAnsi="宋体"/>
                <w:sz w:val="24"/>
                <w:szCs w:val="24"/>
                <w:lang w:val="en-US" w:eastAsia="zh-CN"/>
              </w:rPr>
            </w:pPr>
            <w:r>
              <w:rPr>
                <w:rFonts w:hint="eastAsia" w:ascii="宋体" w:hAnsi="宋体"/>
                <w:sz w:val="24"/>
                <w:szCs w:val="24"/>
                <w:lang w:val="en-US" w:eastAsia="zh-CN"/>
              </w:rPr>
              <w:t>2010年9月-2013年1月：北京交通大学，环境工程专业工学硕士</w:t>
            </w:r>
          </w:p>
          <w:p w14:paraId="2F47B9BF">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sz w:val="24"/>
                <w:szCs w:val="24"/>
                <w:lang w:val="en-US" w:eastAsia="zh-CN"/>
              </w:rPr>
            </w:pPr>
            <w:r>
              <w:rPr>
                <w:rFonts w:hint="eastAsia" w:ascii="宋体" w:hAnsi="宋体"/>
                <w:sz w:val="24"/>
                <w:szCs w:val="24"/>
                <w:lang w:val="en-US" w:eastAsia="zh-CN"/>
              </w:rPr>
              <w:t>2013年2月-至今：进入德蓝水技术股份有限公司，至今13年，主要在水处理方向从事产品开发、产业化和市场应用工作。</w:t>
            </w:r>
          </w:p>
          <w:p w14:paraId="30AAF162">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default" w:ascii="宋体" w:hAnsi="宋体"/>
                <w:sz w:val="24"/>
                <w:szCs w:val="24"/>
                <w:lang w:val="en-US" w:eastAsia="zh-CN"/>
              </w:rPr>
            </w:pPr>
            <w:r>
              <w:rPr>
                <w:rFonts w:hint="eastAsia" w:ascii="宋体" w:hAnsi="宋体"/>
                <w:sz w:val="24"/>
                <w:szCs w:val="24"/>
                <w:lang w:val="en-US" w:eastAsia="zh-CN"/>
              </w:rPr>
              <w:t>2013年2月-2015年12月：化学品研发工程师，从事化学品研发与技术支持工作，主要进行实验和现场服务工作。</w:t>
            </w:r>
          </w:p>
          <w:p w14:paraId="381BA1EE">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sz w:val="24"/>
                <w:szCs w:val="24"/>
                <w:lang w:val="en-US" w:eastAsia="zh-CN"/>
              </w:rPr>
            </w:pPr>
            <w:r>
              <w:rPr>
                <w:rFonts w:hint="eastAsia" w:ascii="宋体" w:hAnsi="宋体"/>
                <w:sz w:val="24"/>
                <w:szCs w:val="24"/>
                <w:lang w:val="en-US" w:eastAsia="zh-CN"/>
              </w:rPr>
              <w:t>2016年1月至2021年12月：膜事业部研发部经理，负责膜产品开发与产业化，主要在车间开展实验和生产工艺调试、产品市场开拓和团队组建的工作。期间在公司领导大力支持下，完成PVDF膜生产线的建立，并组建了研发及生产团队，完成4类膜产品开发和产业化。</w:t>
            </w:r>
          </w:p>
          <w:p w14:paraId="01175D39">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Times New Roman"/>
                <w:sz w:val="24"/>
                <w:szCs w:val="24"/>
                <w:lang w:val="en-US" w:eastAsia="zh-CN"/>
              </w:rPr>
            </w:pPr>
            <w:r>
              <w:rPr>
                <w:rFonts w:hint="eastAsia" w:ascii="宋体" w:hAnsi="宋体" w:eastAsia="宋体" w:cs="Times New Roman"/>
                <w:sz w:val="24"/>
                <w:szCs w:val="24"/>
                <w:lang w:val="en-US" w:eastAsia="zh-CN"/>
              </w:rPr>
              <w:t>2022年1月-2023年12月：科技创新产业中心副总经理，主管研发和技术服务，通过客户现场交流、查勘、产品推荐以及投标技术支持，将膜产品推广应用到煤化工、氯碱化工，石油化工，纺织，电厂，盐化工行业现场，实现在脱盐水、中水、零排等系统稳定达标运行。</w:t>
            </w:r>
          </w:p>
          <w:p w14:paraId="4C5D7217">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both"/>
              <w:textAlignment w:val="auto"/>
              <w:rPr>
                <w:rFonts w:hint="default" w:ascii="Times New Roman" w:hAnsi="Times New Roman" w:eastAsia="宋体" w:cs="Times New Roman"/>
                <w:color w:val="auto"/>
                <w:kern w:val="2"/>
                <w:sz w:val="24"/>
                <w:szCs w:val="24"/>
                <w:lang w:val="en-US" w:eastAsia="zh-CN" w:bidi="ar-SA"/>
              </w:rPr>
            </w:pPr>
            <w:r>
              <w:rPr>
                <w:rFonts w:hint="eastAsia" w:ascii="宋体" w:hAnsi="宋体" w:eastAsia="宋体" w:cs="Times New Roman"/>
                <w:sz w:val="24"/>
                <w:szCs w:val="24"/>
                <w:lang w:val="en-US" w:eastAsia="zh-CN"/>
              </w:rPr>
              <w:t>2024年1月至今：科技创新产业中心总经理（公司技术总监，董事会副总经理），负责技术团队的经营管理，负责产品技术开发、产业化与市场推广工作。</w:t>
            </w:r>
          </w:p>
        </w:tc>
      </w:tr>
    </w:tbl>
    <w:p w14:paraId="0CB9D2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bookmarkStart w:id="3" w:name="heading_17"/>
    </w:p>
    <w:p w14:paraId="09971A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二、主要业绩情况</w:t>
      </w:r>
      <w:bookmarkEnd w:id="3"/>
    </w:p>
    <w:tbl>
      <w:tblPr>
        <w:tblStyle w:val="13"/>
        <w:tblW w:w="87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6"/>
        <w:gridCol w:w="1845"/>
        <w:gridCol w:w="1335"/>
        <w:gridCol w:w="1340"/>
        <w:gridCol w:w="1580"/>
        <w:gridCol w:w="950"/>
      </w:tblGrid>
      <w:tr w14:paraId="29332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9" w:hRule="atLeast"/>
        </w:trPr>
        <w:tc>
          <w:tcPr>
            <w:tcW w:w="1686" w:type="dxa"/>
            <w:vMerge w:val="restart"/>
            <w:tcBorders>
              <w:top w:val="single" w:color="auto" w:sz="4" w:space="0"/>
              <w:left w:val="single" w:color="auto" w:sz="4" w:space="0"/>
              <w:right w:val="single" w:color="auto" w:sz="4" w:space="0"/>
            </w:tcBorders>
            <w:noWrap w:val="0"/>
            <w:vAlign w:val="center"/>
          </w:tcPr>
          <w:p w14:paraId="6A74B8A4">
            <w:pPr>
              <w:jc w:val="center"/>
              <w:rPr>
                <w:rFonts w:hint="eastAsia" w:ascii="Times New Roman" w:hAnsi="Times New Roman" w:eastAsia="宋体" w:cs="宋体"/>
                <w:b w:val="0"/>
                <w:bCs w:val="0"/>
                <w:color w:val="auto"/>
                <w:sz w:val="24"/>
                <w:szCs w:val="24"/>
              </w:rPr>
            </w:pPr>
            <w:bookmarkStart w:id="4" w:name="heading_18"/>
            <w:r>
              <w:rPr>
                <w:rFonts w:hint="eastAsia" w:ascii="Times New Roman" w:hAnsi="Times New Roman" w:eastAsia="黑体" w:cs="黑体"/>
                <w:kern w:val="2"/>
                <w:sz w:val="24"/>
                <w:szCs w:val="24"/>
                <w:lang w:val="en-US" w:eastAsia="zh-CN" w:bidi="ar-SA"/>
              </w:rPr>
              <w:t>承担重要项目及取得的成果、效益等情况（近5年以来）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CDAB4D5">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项目名称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79EA1A0">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项目来源</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B46995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经费</w:t>
            </w:r>
          </w:p>
          <w:p w14:paraId="60690FD2">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（万元）</w:t>
            </w:r>
          </w:p>
        </w:tc>
        <w:tc>
          <w:tcPr>
            <w:tcW w:w="1580" w:type="dxa"/>
            <w:tcBorders>
              <w:top w:val="single" w:color="auto" w:sz="4" w:space="0"/>
              <w:left w:val="single" w:color="auto" w:sz="4" w:space="0"/>
              <w:bottom w:val="single" w:color="auto" w:sz="4" w:space="0"/>
              <w:right w:val="single" w:color="auto" w:sz="4" w:space="0"/>
            </w:tcBorders>
            <w:noWrap w:val="0"/>
            <w:vAlign w:val="center"/>
          </w:tcPr>
          <w:p w14:paraId="6D76A468">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起止时间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141A7161">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64F53BAD">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3B45C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4FD54A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6B0AF84">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印染废水分质回用与系统资源循环关键技术研发</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BC4C5EE">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科技厅</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3C31B4C">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500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AC6209E">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2023‑2025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871C7E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w:t>
            </w:r>
          </w:p>
        </w:tc>
      </w:tr>
      <w:tr w14:paraId="773BE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8855F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135CCB8">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基于变温相转化技术的高性能中空纤维膜的产业化及高盐废水资源化应用示范</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7E59D43">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科技局</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15ABAE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50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B43EC8E">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2023‑2025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70242A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w:t>
            </w:r>
          </w:p>
        </w:tc>
      </w:tr>
      <w:tr w14:paraId="6B541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C82BE03">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C16513F">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高精度大通量抗压优质中空纤维超滤膜专利导航项目</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15C73FE">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市场监督管理局</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DF6A587">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AE55100">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2022‑2023</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E9B59E">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w:t>
            </w:r>
          </w:p>
        </w:tc>
      </w:tr>
      <w:tr w14:paraId="14FF7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F24889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C974BCA">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大通量高强度梯度孔中空纤维膜开发与分离膜前沿科技创新平台建设</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4CF9074">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科技厅</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5A3CE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300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A98A4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2023‑2024</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A80D22">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w:t>
            </w:r>
          </w:p>
        </w:tc>
      </w:tr>
      <w:tr w14:paraId="67E7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6AB1E2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9313CD8">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MABR低碳技术研究及其在煤化工废水高效处理中的应用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78500E6">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科技厅</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62A564B">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170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81AA09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2026‑2027</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54A3B3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w:t>
            </w:r>
          </w:p>
        </w:tc>
      </w:tr>
      <w:tr w14:paraId="028D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7E17E2F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5884B5">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集成式双极膜法替代传统蒸发结晶深度资源化废盐处理项目</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54BD2B">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科技厅</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AFF34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90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5F64A0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2025‑2027</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830D55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4</w:t>
            </w:r>
          </w:p>
        </w:tc>
      </w:tr>
      <w:tr w14:paraId="26DB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3DC40B6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F634B70">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高效聚四氟乙烯亲水改性除油膜开发及其产业化技术</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F5F26D6">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科技局</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423D938">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300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78FD9AD">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2023‑2025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4B4E1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5</w:t>
            </w:r>
          </w:p>
        </w:tc>
      </w:tr>
      <w:tr w14:paraId="5341E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bottom w:val="single" w:color="auto" w:sz="4" w:space="0"/>
              <w:right w:val="single" w:color="auto" w:sz="4" w:space="0"/>
            </w:tcBorders>
            <w:noWrap w:val="0"/>
            <w:vAlign w:val="center"/>
          </w:tcPr>
          <w:p w14:paraId="31A1207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E602676">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构建新型膜材料装备产业体系实现煤化工废水绿色低碳零排放</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21192C9">
            <w:pPr>
              <w:spacing w:before="120" w:after="120" w:line="288" w:lineRule="auto"/>
              <w:ind w:left="0" w:leftChars="0"/>
              <w:jc w:val="left"/>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科技厅</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4383C4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1000</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E1BC626">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2023‑2025</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8CD7ED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7</w:t>
            </w:r>
          </w:p>
        </w:tc>
      </w:tr>
      <w:tr w14:paraId="6B17A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left w:val="single" w:color="auto" w:sz="4" w:space="0"/>
              <w:right w:val="single" w:color="auto" w:sz="4" w:space="0"/>
            </w:tcBorders>
            <w:noWrap w:val="0"/>
            <w:vAlign w:val="center"/>
          </w:tcPr>
          <w:p w14:paraId="595D5E85">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r>
              <w:rPr>
                <w:rFonts w:hint="eastAsia" w:ascii="Times New Roman" w:hAnsi="Times New Roman" w:eastAsia="黑体" w:cs="黑体"/>
                <w:kern w:val="2"/>
                <w:sz w:val="24"/>
                <w:szCs w:val="24"/>
                <w:lang w:val="en-US" w:eastAsia="zh-CN" w:bidi="ar-SA"/>
              </w:rPr>
              <w:t>代表性论文或著作（“第一作者”或“通讯作者”的论文、主编或副主编的著作）</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FB8EAF8">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论文题目、</w:t>
            </w:r>
          </w:p>
          <w:p w14:paraId="7CAD240B">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专著名称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66B9A64">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时间</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295B10D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期刊名称、卷次/出版社</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4FAFC08F">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本人</w:t>
            </w:r>
          </w:p>
          <w:p w14:paraId="0F32E7A7">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17F72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2DE1F6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0BC2A22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高通量PVDF</w:t>
            </w:r>
            <w:r>
              <w:rPr>
                <w:rFonts w:hint="eastAsia" w:ascii="Times New Roman" w:hAnsi="Times New Roman" w:cs="Times New Roman"/>
                <w:b w:val="0"/>
                <w:bCs w:val="0"/>
                <w:color w:val="auto"/>
                <w:sz w:val="24"/>
                <w:szCs w:val="24"/>
                <w:lang w:val="en-US" w:eastAsia="zh-CN"/>
              </w:rPr>
              <w:t>/</w:t>
            </w:r>
            <w:r>
              <w:rPr>
                <w:rFonts w:hint="default" w:ascii="Times New Roman" w:hAnsi="Times New Roman" w:eastAsia="宋体" w:cs="Times New Roman"/>
                <w:b w:val="0"/>
                <w:bCs w:val="0"/>
                <w:color w:val="auto"/>
                <w:sz w:val="24"/>
                <w:szCs w:val="24"/>
              </w:rPr>
              <w:t>PES共混膜及其制备方法的研究</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0AFAF36">
            <w:pPr>
              <w:keepNext w:val="0"/>
              <w:keepLines w:val="0"/>
              <w:pageBreakBefore w:val="0"/>
              <w:tabs>
                <w:tab w:val="left" w:pos="398"/>
              </w:tabs>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lang w:eastAsia="zh-CN"/>
              </w:rPr>
              <w:t>2024/5/9</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0967C08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《中国科技信息》</w:t>
            </w:r>
          </w:p>
          <w:p w14:paraId="10ECC23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2024年35卷第6期99页</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16BC30E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第三</w:t>
            </w:r>
          </w:p>
          <w:p w14:paraId="4E69A26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通讯作者</w:t>
            </w:r>
          </w:p>
        </w:tc>
      </w:tr>
      <w:tr w14:paraId="3F760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2CA90CF8">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4277A35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一种超滤膜碱性清洗剂制备方法及其应用</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A532BC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2024/3/8</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00A339E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《中国科技人才》</w:t>
            </w:r>
          </w:p>
          <w:p w14:paraId="1ED9C88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2024年10卷第6期40页</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580A49C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第三</w:t>
            </w:r>
          </w:p>
          <w:p w14:paraId="63BC937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通讯作者</w:t>
            </w:r>
          </w:p>
        </w:tc>
      </w:tr>
      <w:tr w14:paraId="3E709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773FDA5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26D1098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膜法水处理技术在火电行业中的应用</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4C2B794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2018/8/10</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1D01CD3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《能源环境保护》</w:t>
            </w:r>
          </w:p>
          <w:p w14:paraId="24BCE2F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2018年32卷第4期4-5页</w:t>
            </w:r>
          </w:p>
          <w:p w14:paraId="5556053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p>
        </w:tc>
        <w:tc>
          <w:tcPr>
            <w:tcW w:w="950" w:type="dxa"/>
            <w:tcBorders>
              <w:top w:val="single" w:color="auto" w:sz="4" w:space="0"/>
              <w:left w:val="single" w:color="auto" w:sz="4" w:space="0"/>
              <w:bottom w:val="single" w:color="auto" w:sz="4" w:space="0"/>
              <w:right w:val="single" w:color="auto" w:sz="4" w:space="0"/>
            </w:tcBorders>
            <w:noWrap w:val="0"/>
            <w:vAlign w:val="center"/>
          </w:tcPr>
          <w:p w14:paraId="4DEF54A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第四</w:t>
            </w:r>
          </w:p>
        </w:tc>
      </w:tr>
      <w:tr w14:paraId="7739D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036A3C4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BD10D3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棉浆泊黑液废水处理试验研究与工艺优化</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ED3EE4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2014/5/20</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3A092E5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《工业水处理》</w:t>
            </w:r>
          </w:p>
          <w:p w14:paraId="0B906CC8">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2014年34卷第5期60-62页</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191FA08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第一</w:t>
            </w:r>
          </w:p>
        </w:tc>
      </w:tr>
      <w:tr w14:paraId="0AE4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7CEA2061">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1CB9D76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Fabricationofanantifoulingandacid/alkali-</w:t>
            </w:r>
          </w:p>
          <w:p w14:paraId="2A82DA6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resistantsulfonatedpolyethersulfone(S-PES)/</w:t>
            </w:r>
          </w:p>
          <w:p w14:paraId="0F3698C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polysulfate(PSE)compositeultrafiltration</w:t>
            </w:r>
          </w:p>
          <w:p w14:paraId="33119F07">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membraneanditsapplicationinthe</w:t>
            </w:r>
          </w:p>
          <w:p w14:paraId="564AFD2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desalinationofulinastatin</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E24327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rPr>
              <w:t>2024/1</w:t>
            </w:r>
            <w:r>
              <w:rPr>
                <w:rFonts w:hint="default" w:ascii="Times New Roman" w:hAnsi="Times New Roman" w:eastAsia="宋体" w:cs="Times New Roman"/>
                <w:b w:val="0"/>
                <w:bCs w:val="0"/>
                <w:color w:val="auto"/>
                <w:sz w:val="24"/>
                <w:szCs w:val="24"/>
                <w:lang w:val="en-US" w:eastAsia="zh-CN"/>
              </w:rPr>
              <w:t>1</w:t>
            </w:r>
            <w:r>
              <w:rPr>
                <w:rFonts w:hint="default" w:ascii="Times New Roman" w:hAnsi="Times New Roman" w:eastAsia="宋体" w:cs="Times New Roman"/>
                <w:b w:val="0"/>
                <w:bCs w:val="0"/>
                <w:color w:val="auto"/>
                <w:sz w:val="24"/>
                <w:szCs w:val="24"/>
              </w:rPr>
              <w:t>/</w:t>
            </w:r>
            <w:r>
              <w:rPr>
                <w:rFonts w:hint="default" w:ascii="Times New Roman" w:hAnsi="Times New Roman" w:eastAsia="宋体" w:cs="Times New Roman"/>
                <w:b w:val="0"/>
                <w:bCs w:val="0"/>
                <w:color w:val="auto"/>
                <w:sz w:val="24"/>
                <w:szCs w:val="24"/>
                <w:lang w:val="en-US" w:eastAsia="zh-CN"/>
              </w:rPr>
              <w:t>14</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3019249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JournalofChemicalTechnology&amp;Biotechnology</w:t>
            </w:r>
          </w:p>
          <w:p w14:paraId="321DECFF">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2024年第100卷</w:t>
            </w:r>
          </w:p>
          <w:p w14:paraId="05F0B0E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第2期，第400-415页</w:t>
            </w:r>
          </w:p>
          <w:p w14:paraId="2A32D5D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p>
        </w:tc>
        <w:tc>
          <w:tcPr>
            <w:tcW w:w="950" w:type="dxa"/>
            <w:tcBorders>
              <w:top w:val="single" w:color="auto" w:sz="4" w:space="0"/>
              <w:left w:val="single" w:color="auto" w:sz="4" w:space="0"/>
              <w:bottom w:val="single" w:color="auto" w:sz="4" w:space="0"/>
              <w:right w:val="single" w:color="auto" w:sz="4" w:space="0"/>
            </w:tcBorders>
            <w:noWrap w:val="0"/>
            <w:vAlign w:val="center"/>
          </w:tcPr>
          <w:p w14:paraId="5087F99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第四</w:t>
            </w:r>
          </w:p>
        </w:tc>
      </w:tr>
      <w:tr w14:paraId="14E11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66335CE">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FD8C9C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PVP调控PSE基正渗透复合膜的制备及其性能</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EA7386E">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2026/4/27</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41B91344">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《天津工业大学学报》</w:t>
            </w:r>
          </w:p>
          <w:p w14:paraId="5DED7EA9">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2026年第45卷</w:t>
            </w:r>
          </w:p>
          <w:p w14:paraId="7EBA2EA0">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rPr>
            </w:pPr>
            <w:r>
              <w:rPr>
                <w:rFonts w:hint="default" w:ascii="Times New Roman" w:hAnsi="Times New Roman" w:eastAsia="宋体" w:cs="Times New Roman"/>
                <w:b w:val="0"/>
                <w:bCs w:val="0"/>
                <w:color w:val="auto"/>
                <w:sz w:val="24"/>
                <w:szCs w:val="24"/>
                <w:lang w:val="en-US" w:eastAsia="zh-CN"/>
              </w:rPr>
              <w:t>第4期09-19页</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5807802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第五</w:t>
            </w:r>
          </w:p>
        </w:tc>
      </w:tr>
      <w:tr w14:paraId="12A35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3249F3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bCs/>
                <w:color w:val="auto"/>
                <w:sz w:val="24"/>
                <w:szCs w:val="24"/>
              </w:rPr>
            </w:pPr>
          </w:p>
        </w:tc>
        <w:tc>
          <w:tcPr>
            <w:tcW w:w="1845" w:type="dxa"/>
            <w:tcBorders>
              <w:top w:val="single" w:color="auto" w:sz="4" w:space="0"/>
              <w:left w:val="single" w:color="auto" w:sz="4" w:space="0"/>
              <w:bottom w:val="single" w:color="auto" w:sz="4" w:space="0"/>
              <w:right w:val="single" w:color="auto" w:sz="4" w:space="0"/>
            </w:tcBorders>
            <w:noWrap w:val="0"/>
            <w:vAlign w:val="center"/>
          </w:tcPr>
          <w:p w14:paraId="62AEEAD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《FacileFabricationofCOFNanofiltrationMembranesviaAceticAcid-CatalyzedInterfacialPolymerization》</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17533E25">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2025/5/26</w:t>
            </w:r>
          </w:p>
        </w:tc>
        <w:tc>
          <w:tcPr>
            <w:tcW w:w="2920" w:type="dxa"/>
            <w:gridSpan w:val="2"/>
            <w:tcBorders>
              <w:top w:val="single" w:color="auto" w:sz="4" w:space="0"/>
              <w:left w:val="single" w:color="auto" w:sz="4" w:space="0"/>
              <w:bottom w:val="single" w:color="auto" w:sz="4" w:space="0"/>
              <w:right w:val="single" w:color="auto" w:sz="4" w:space="0"/>
            </w:tcBorders>
            <w:noWrap w:val="0"/>
            <w:vAlign w:val="center"/>
          </w:tcPr>
          <w:p w14:paraId="675ED7A1">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JournalofMembraneScience</w:t>
            </w:r>
          </w:p>
          <w:p w14:paraId="36757F3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2025年第732卷</w:t>
            </w:r>
          </w:p>
          <w:p w14:paraId="50EA2A1C">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i w:val="0"/>
                <w:iCs w:val="0"/>
                <w:caps w:val="0"/>
                <w:color w:val="262626"/>
                <w:spacing w:val="0"/>
                <w:sz w:val="24"/>
                <w:szCs w:val="24"/>
                <w:shd w:val="clear" w:fill="FFFFFF"/>
                <w:lang w:val="en-US" w:eastAsia="zh-CN"/>
              </w:rPr>
            </w:pPr>
            <w:r>
              <w:rPr>
                <w:rFonts w:hint="default" w:ascii="Times New Roman" w:hAnsi="Times New Roman" w:eastAsia="宋体" w:cs="Times New Roman"/>
                <w:b w:val="0"/>
                <w:bCs w:val="0"/>
                <w:color w:val="auto"/>
                <w:sz w:val="24"/>
                <w:szCs w:val="24"/>
                <w:lang w:val="en-US" w:eastAsia="zh-CN"/>
              </w:rPr>
              <w:t>124269-124269</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1B9AC296">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第五</w:t>
            </w:r>
          </w:p>
        </w:tc>
      </w:tr>
      <w:tr w14:paraId="7FEFA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14:paraId="6811EC53">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lang w:eastAsia="zh-CN"/>
              </w:rPr>
            </w:pPr>
            <w:r>
              <w:rPr>
                <w:rFonts w:hint="eastAsia" w:ascii="Times New Roman" w:hAnsi="Times New Roman" w:eastAsia="黑体" w:cs="黑体"/>
                <w:kern w:val="2"/>
                <w:sz w:val="24"/>
                <w:szCs w:val="24"/>
                <w:lang w:val="en-US" w:eastAsia="zh-CN" w:bidi="ar-SA"/>
              </w:rPr>
              <w:t>获得专利情况（近5年以来）</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7F2D1A42">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授权编号</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840384A">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专利名称</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6A24B4EE">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受理授权时间</w:t>
            </w:r>
          </w:p>
        </w:tc>
        <w:tc>
          <w:tcPr>
            <w:tcW w:w="1580" w:type="dxa"/>
            <w:tcBorders>
              <w:top w:val="single" w:color="auto" w:sz="4" w:space="0"/>
              <w:left w:val="single" w:color="auto" w:sz="4" w:space="0"/>
              <w:bottom w:val="single" w:color="auto" w:sz="4" w:space="0"/>
              <w:right w:val="single" w:color="auto" w:sz="4" w:space="0"/>
            </w:tcBorders>
            <w:noWrap w:val="0"/>
            <w:vAlign w:val="center"/>
          </w:tcPr>
          <w:p w14:paraId="3B3BEF24">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专利类型</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46B44762">
            <w:pPr>
              <w:jc w:val="center"/>
              <w:rPr>
                <w:rFonts w:hint="eastAsia" w:ascii="Times New Roman" w:hAnsi="Times New Roman" w:eastAsia="黑体" w:cs="黑体"/>
                <w:kern w:val="2"/>
                <w:sz w:val="24"/>
                <w:szCs w:val="24"/>
                <w:lang w:val="en-US" w:eastAsia="zh-CN" w:bidi="ar-SA"/>
              </w:rPr>
            </w:pPr>
            <w:r>
              <w:rPr>
                <w:rFonts w:hint="eastAsia" w:ascii="Times New Roman" w:hAnsi="Times New Roman" w:eastAsia="黑体" w:cs="黑体"/>
                <w:kern w:val="2"/>
                <w:sz w:val="24"/>
                <w:szCs w:val="24"/>
                <w:lang w:val="en-US" w:eastAsia="zh-CN" w:bidi="ar-SA"/>
              </w:rPr>
              <w:t>排名</w:t>
            </w:r>
          </w:p>
        </w:tc>
      </w:tr>
      <w:tr w14:paraId="32473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5B99A7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0AE367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ZL202310713667.5</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2C5D1C8">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一种中空纤维脱盐膜的制备方法</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7727F4D">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2026年04月17日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15B4F93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发明专利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8095B6D">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1</w:t>
            </w:r>
          </w:p>
        </w:tc>
      </w:tr>
      <w:tr w14:paraId="1ABC6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534DBA82">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BDF560B">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ZL201810256837.0</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FD035ED">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一种基于管式膜的高浓度印染废水预处理的集成方法</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99232B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2022年02月18日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045D3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发明专利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22A74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w:t>
            </w:r>
          </w:p>
        </w:tc>
      </w:tr>
      <w:tr w14:paraId="2FEF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5F49D0F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E58EDCF">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ZL201711464671.3</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B49C0C">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一种高选择性中空纤维脱盐膜及其制备方法</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4A8F26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2021年11月19日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D1B5BC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发明专利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AFEB6EF">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w:t>
            </w:r>
          </w:p>
        </w:tc>
      </w:tr>
      <w:tr w14:paraId="3351E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6EA53F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5BC55F2">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ZL202223040108.2</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9C1222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一种PTFE膜丝悬挂转移装置</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9B9B0E0">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2023年04月07日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56D323DE">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实用新型专利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A1B3696">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w:t>
            </w:r>
          </w:p>
        </w:tc>
      </w:tr>
      <w:tr w14:paraId="7816D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4CFD07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7FB2A3F6">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ZL202223040099.7</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1ECF229">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一种设有快拆结构的超滤膜组件</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76243EB">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2023年04月07日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5DBE995">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实用新型专利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609DF1A">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w:t>
            </w:r>
          </w:p>
        </w:tc>
      </w:tr>
      <w:tr w14:paraId="6B51B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0D1E9AA1">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1F38083">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ZL202210248555.2</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206D79D">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一种抗污染反渗透膜的制备方法</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6FE8FB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2023年04月14日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439557C4">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发明专利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3E69720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w:t>
            </w:r>
          </w:p>
        </w:tc>
      </w:tr>
      <w:tr w14:paraId="52CB8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596D9A46">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6B874B6">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ZL201911031867.2</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A44A194">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一种用于膜壳粘接的装置及方法</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2144BA21">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2021年08月17日</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0A46C708">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发明专利</w:t>
            </w:r>
          </w:p>
        </w:tc>
        <w:tc>
          <w:tcPr>
            <w:tcW w:w="950" w:type="dxa"/>
            <w:tcBorders>
              <w:top w:val="single" w:color="auto" w:sz="4" w:space="0"/>
              <w:left w:val="single" w:color="auto" w:sz="4" w:space="0"/>
              <w:bottom w:val="single" w:color="auto" w:sz="4" w:space="0"/>
              <w:right w:val="single" w:color="auto" w:sz="4" w:space="0"/>
            </w:tcBorders>
            <w:shd w:val="clear" w:color="auto" w:fill="auto"/>
            <w:noWrap w:val="0"/>
            <w:vAlign w:val="top"/>
          </w:tcPr>
          <w:p w14:paraId="6DA59F75">
            <w:pPr>
              <w:spacing w:before="120" w:after="120" w:line="288" w:lineRule="auto"/>
              <w:ind w:left="0" w:leftChars="0"/>
              <w:jc w:val="center"/>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rPr>
              <w:t>3</w:t>
            </w:r>
          </w:p>
        </w:tc>
      </w:tr>
      <w:tr w14:paraId="2863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restart"/>
            <w:tcBorders>
              <w:top w:val="single" w:color="auto" w:sz="4" w:space="0"/>
              <w:left w:val="single" w:color="auto" w:sz="4" w:space="0"/>
              <w:right w:val="single" w:color="auto" w:sz="4" w:space="0"/>
            </w:tcBorders>
            <w:noWrap w:val="0"/>
            <w:vAlign w:val="center"/>
          </w:tcPr>
          <w:p w14:paraId="0F490BF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获重要科研</w:t>
            </w:r>
          </w:p>
          <w:p w14:paraId="688DDB2B">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宋体" w:cs="宋体"/>
                <w:b w:val="0"/>
                <w:bCs w:val="0"/>
                <w:color w:val="auto"/>
                <w:sz w:val="24"/>
                <w:szCs w:val="24"/>
              </w:rPr>
            </w:pPr>
            <w:r>
              <w:rPr>
                <w:rFonts w:hint="eastAsia" w:ascii="Times New Roman" w:hAnsi="Times New Roman" w:eastAsia="黑体" w:cs="黑体"/>
                <w:b w:val="0"/>
                <w:bCs w:val="0"/>
                <w:color w:val="auto"/>
                <w:sz w:val="24"/>
                <w:szCs w:val="24"/>
              </w:rPr>
              <w:t>学术奖励情况</w:t>
            </w:r>
          </w:p>
        </w:tc>
        <w:tc>
          <w:tcPr>
            <w:tcW w:w="1845" w:type="dxa"/>
            <w:tcBorders>
              <w:top w:val="single" w:color="auto" w:sz="4" w:space="0"/>
              <w:left w:val="single" w:color="auto" w:sz="4" w:space="0"/>
              <w:bottom w:val="single" w:color="auto" w:sz="4" w:space="0"/>
              <w:right w:val="single" w:color="auto" w:sz="4" w:space="0"/>
            </w:tcBorders>
            <w:noWrap w:val="0"/>
            <w:vAlign w:val="center"/>
          </w:tcPr>
          <w:p w14:paraId="3E7F926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奖励名称</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3E655C2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奖励等级</w:t>
            </w:r>
          </w:p>
        </w:tc>
        <w:tc>
          <w:tcPr>
            <w:tcW w:w="1340" w:type="dxa"/>
            <w:tcBorders>
              <w:top w:val="single" w:color="auto" w:sz="4" w:space="0"/>
              <w:left w:val="single" w:color="auto" w:sz="4" w:space="0"/>
              <w:bottom w:val="single" w:color="auto" w:sz="4" w:space="0"/>
              <w:right w:val="single" w:color="auto" w:sz="4" w:space="0"/>
            </w:tcBorders>
            <w:noWrap w:val="0"/>
            <w:vAlign w:val="center"/>
          </w:tcPr>
          <w:p w14:paraId="352435C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颁奖单位</w:t>
            </w:r>
          </w:p>
        </w:tc>
        <w:tc>
          <w:tcPr>
            <w:tcW w:w="1580" w:type="dxa"/>
            <w:tcBorders>
              <w:top w:val="single" w:color="auto" w:sz="4" w:space="0"/>
              <w:left w:val="single" w:color="auto" w:sz="4" w:space="0"/>
              <w:bottom w:val="single" w:color="auto" w:sz="4" w:space="0"/>
              <w:right w:val="single" w:color="auto" w:sz="4" w:space="0"/>
            </w:tcBorders>
            <w:noWrap w:val="0"/>
            <w:vAlign w:val="center"/>
          </w:tcPr>
          <w:p w14:paraId="14B03B5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z w:val="24"/>
                <w:szCs w:val="24"/>
              </w:rPr>
            </w:pPr>
            <w:r>
              <w:rPr>
                <w:rFonts w:hint="eastAsia" w:ascii="Times New Roman" w:hAnsi="Times New Roman" w:eastAsia="黑体" w:cs="黑体"/>
                <w:b w:val="0"/>
                <w:bCs w:val="0"/>
                <w:color w:val="auto"/>
                <w:sz w:val="24"/>
                <w:szCs w:val="24"/>
              </w:rPr>
              <w:t>获奖时间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3AB5A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Times New Roman" w:hAnsi="Times New Roman" w:eastAsia="黑体" w:cs="黑体"/>
                <w:b w:val="0"/>
                <w:bCs w:val="0"/>
                <w:color w:val="auto"/>
                <w:spacing w:val="-11"/>
                <w:sz w:val="24"/>
                <w:szCs w:val="24"/>
              </w:rPr>
            </w:pPr>
            <w:r>
              <w:rPr>
                <w:rFonts w:hint="eastAsia" w:ascii="Times New Roman" w:hAnsi="Times New Roman" w:eastAsia="黑体" w:cs="黑体"/>
                <w:b w:val="0"/>
                <w:bCs w:val="0"/>
                <w:color w:val="auto"/>
                <w:sz w:val="24"/>
                <w:szCs w:val="24"/>
              </w:rPr>
              <w:t>排名</w:t>
            </w:r>
          </w:p>
        </w:tc>
      </w:tr>
      <w:tr w14:paraId="55229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C330AB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E9D3D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健康饮用水专用膜的开发应用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682BE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一等奖</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F8A00A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乌鲁木齐市创新创业大赛组委会</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4E1AC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2016年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0A21B65B">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p>
        </w:tc>
      </w:tr>
      <w:tr w14:paraId="742C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2E36193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D971CD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健康饮用水专用膜的开发应用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EDCAB6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三等奖</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1336E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自治区创新创业大赛组委会</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0287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2016年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2C1F7073">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w:t>
            </w:r>
          </w:p>
        </w:tc>
      </w:tr>
      <w:tr w14:paraId="6DCFE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1686" w:type="dxa"/>
            <w:vMerge w:val="continue"/>
            <w:tcBorders>
              <w:left w:val="single" w:color="auto" w:sz="4" w:space="0"/>
              <w:right w:val="single" w:color="auto" w:sz="4" w:space="0"/>
            </w:tcBorders>
            <w:noWrap w:val="0"/>
            <w:vAlign w:val="center"/>
          </w:tcPr>
          <w:p w14:paraId="249AF9F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1F6EB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膜蒸馏苦咸水淡化关键技术研究及应用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7CE9A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二等奖</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B1B64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自治区科技厅</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7276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2017年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4F56193D">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w:t>
            </w:r>
          </w:p>
        </w:tc>
      </w:tr>
      <w:tr w14:paraId="44DDF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6E6C1DBC">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0A954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高含盐印染废水处理回用与零排放集成技术及应用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5BED0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二等奖</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6B72C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中国膜工业协会</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C095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2018年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76627FCA">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p>
        </w:tc>
      </w:tr>
      <w:tr w14:paraId="73063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1686" w:type="dxa"/>
            <w:vMerge w:val="continue"/>
            <w:tcBorders>
              <w:left w:val="single" w:color="auto" w:sz="4" w:space="0"/>
              <w:right w:val="single" w:color="auto" w:sz="4" w:space="0"/>
            </w:tcBorders>
            <w:noWrap w:val="0"/>
            <w:vAlign w:val="center"/>
          </w:tcPr>
          <w:p w14:paraId="4D8A6266">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Times New Roman" w:hAnsi="Times New Roman" w:eastAsia="宋体" w:cs="宋体"/>
                <w:b w:val="0"/>
                <w:bCs w:val="0"/>
                <w:color w:val="auto"/>
                <w:sz w:val="24"/>
                <w:szCs w:val="24"/>
              </w:rPr>
            </w:pPr>
          </w:p>
        </w:tc>
        <w:tc>
          <w:tcPr>
            <w:tcW w:w="184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7C58E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干旱地区非常规水资源安全利用关键技术开发与应用</w:t>
            </w:r>
          </w:p>
        </w:tc>
        <w:tc>
          <w:tcPr>
            <w:tcW w:w="133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E0731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一等奖</w:t>
            </w:r>
          </w:p>
        </w:tc>
        <w:tc>
          <w:tcPr>
            <w:tcW w:w="134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605D7F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sz w:val="24"/>
                <w:szCs w:val="24"/>
                <w:lang w:val="en-US" w:eastAsia="zh-CN"/>
              </w:rPr>
              <w:t>中国膜工业协会</w:t>
            </w:r>
          </w:p>
        </w:tc>
        <w:tc>
          <w:tcPr>
            <w:tcW w:w="158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BBEC9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宋体" w:cs="Times New Roman"/>
                <w:kern w:val="2"/>
                <w:sz w:val="24"/>
                <w:szCs w:val="24"/>
                <w:lang w:val="en-US" w:eastAsia="zh-CN" w:bidi="ar-SA"/>
              </w:rPr>
            </w:pPr>
            <w:r>
              <w:rPr>
                <w:rFonts w:hint="default" w:ascii="Times New Roman" w:hAnsi="Times New Roman" w:eastAsia="宋体" w:cs="Times New Roman"/>
                <w:kern w:val="2"/>
                <w:sz w:val="24"/>
                <w:szCs w:val="24"/>
                <w:lang w:val="en-US" w:eastAsia="zh-CN" w:bidi="ar-SA"/>
              </w:rPr>
              <w:t>2022年</w:t>
            </w:r>
          </w:p>
        </w:tc>
        <w:tc>
          <w:tcPr>
            <w:tcW w:w="950" w:type="dxa"/>
            <w:tcBorders>
              <w:top w:val="single" w:color="auto" w:sz="4" w:space="0"/>
              <w:left w:val="single" w:color="auto" w:sz="4" w:space="0"/>
              <w:bottom w:val="single" w:color="auto" w:sz="4" w:space="0"/>
              <w:right w:val="single" w:color="auto" w:sz="4" w:space="0"/>
            </w:tcBorders>
            <w:noWrap w:val="0"/>
            <w:vAlign w:val="center"/>
          </w:tcPr>
          <w:p w14:paraId="3AFE9F32">
            <w:pPr>
              <w:keepNext w:val="0"/>
              <w:keepLines w:val="0"/>
              <w:pageBreakBefore w:val="0"/>
              <w:kinsoku/>
              <w:wordWrap/>
              <w:overflowPunct/>
              <w:topLinePunct w:val="0"/>
              <w:autoSpaceDE/>
              <w:autoSpaceDN/>
              <w:bidi w:val="0"/>
              <w:adjustRightInd/>
              <w:snapToGrid/>
              <w:spacing w:line="360" w:lineRule="exact"/>
              <w:jc w:val="center"/>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w:t>
            </w:r>
          </w:p>
        </w:tc>
      </w:tr>
      <w:bookmarkEnd w:id="4"/>
    </w:tbl>
    <w:p w14:paraId="200C3A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黑体" w:cs="黑体"/>
          <w:color w:val="auto"/>
          <w:sz w:val="32"/>
          <w:szCs w:val="32"/>
        </w:rPr>
      </w:pPr>
      <w:bookmarkStart w:id="5" w:name="heading_23"/>
      <w:r>
        <w:rPr>
          <w:rFonts w:hint="eastAsia" w:ascii="Times New Roman" w:hAnsi="Times New Roman" w:eastAsia="黑体" w:cs="黑体"/>
          <w:color w:val="auto"/>
          <w:sz w:val="32"/>
          <w:szCs w:val="32"/>
        </w:rPr>
        <w:t>三、工作计划及绩效目标</w:t>
      </w:r>
      <w:bookmarkEnd w:id="5"/>
    </w:p>
    <w:p w14:paraId="7A2DFD1A">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Times New Roman" w:hAnsi="Times New Roman" w:eastAsia="楷体_GB2312" w:cs="楷体_GB2312"/>
          <w:b/>
          <w:bCs w:val="0"/>
          <w:color w:val="auto"/>
          <w:sz w:val="32"/>
          <w:szCs w:val="32"/>
          <w:lang w:val="en-US" w:eastAsia="zh-CN"/>
        </w:rPr>
      </w:pPr>
      <w:bookmarkStart w:id="6" w:name="heading_24"/>
      <w:r>
        <w:rPr>
          <w:rFonts w:hint="default" w:ascii="Times New Roman" w:hAnsi="Times New Roman" w:eastAsia="楷体_GB2312" w:cs="Times New Roman"/>
          <w:b/>
          <w:bCs w:val="0"/>
          <w:color w:val="auto"/>
          <w:sz w:val="32"/>
          <w:szCs w:val="32"/>
          <w:lang w:val="en-US" w:eastAsia="zh-CN"/>
        </w:rPr>
        <w:t>3.1</w:t>
      </w:r>
      <w:r>
        <w:rPr>
          <w:rFonts w:hint="eastAsia" w:ascii="Times New Roman" w:hAnsi="Times New Roman" w:eastAsia="楷体_GB2312" w:cs="楷体_GB2312"/>
          <w:b/>
          <w:bCs w:val="0"/>
          <w:color w:val="auto"/>
          <w:sz w:val="32"/>
          <w:szCs w:val="32"/>
          <w:lang w:val="en-US" w:eastAsia="zh-CN"/>
        </w:rPr>
        <w:t>项目背景与意义</w:t>
      </w:r>
    </w:p>
    <w:p w14:paraId="2FD4754F">
      <w:pPr>
        <w:pStyle w:val="21"/>
        <w:bidi w:val="0"/>
        <w:rPr>
          <w:rFonts w:hint="eastAsia"/>
          <w:lang w:val="en-US" w:eastAsia="zh-CN"/>
        </w:rPr>
      </w:pPr>
      <w:r>
        <w:rPr>
          <w:rFonts w:hint="eastAsia"/>
          <w:lang w:val="en-US" w:eastAsia="zh-CN"/>
        </w:rPr>
        <w:t>新疆是国家盐湖锂资源战略核心产区与煤基碳基材料的重要产业集聚区。而锂基和碳基新材料作为新疆重点发展的战略性新兴产业，在其全产业链制造工艺中（如盐湖提锂/锂电回收的强酸浸出液澄清、碳纤维纺丝的强极性溶剂回收、纳米碳材料的强酸洗涤等），普遍存在“强酸碱、高污染、易粘附”的极端工况。</w:t>
      </w:r>
    </w:p>
    <w:p w14:paraId="5B317952">
      <w:pPr>
        <w:pStyle w:val="21"/>
        <w:bidi w:val="0"/>
        <w:rPr>
          <w:rFonts w:hint="eastAsia"/>
          <w:lang w:val="en-US" w:eastAsia="zh-CN"/>
        </w:rPr>
      </w:pPr>
      <w:r>
        <w:rPr>
          <w:rFonts w:hint="eastAsia"/>
          <w:lang w:val="en-US" w:eastAsia="zh-CN"/>
        </w:rPr>
        <w:t>当前，两大产业链各工序的溶液净化、固液分离、溶剂回收环节普遍采用聚偏氟乙烯（PVDF）超滤膜，其存在的痛点：一是本征疏水缺陷，PVDF材料本身强疏水，必须通过添加亲水助剂共混改性实现亲水，长期运行过程中助剂逐步析出，膜表面亲水性衰减快，在新疆盐湖高盐卤水、锂电回收强酸浸出液、碳材料生产高有机溶剂等极端工况下，极易发生有机物吸附、胶体污堵，导致通量快速衰减、清洗频次高、使用寿命短，直接影响前端主工艺的运行效率与产品品质。二是危废处置难题，PVDF属于含氟高分子材料，废弃失效膜属于含氟危险废物，新疆地域广阔、危废处置产能分布不均，含氟危废转运与处置成本高，且焚烧处置易产生氟化氢等有毒污染物，环境风险突出，不符合产业绿色低碳转型要求。三是供应链自主可控性不足，新疆地处西北内陆，供应链长、保供难度大，制约产业链自主安全发展。这些都成为制约新疆锂/碳新材料全产业链工艺优化与节能降本的关键共性瓶颈。</w:t>
      </w:r>
    </w:p>
    <w:p w14:paraId="11E1133B">
      <w:pPr>
        <w:pStyle w:val="21"/>
        <w:bidi w:val="0"/>
        <w:rPr>
          <w:rFonts w:hint="eastAsia"/>
          <w:lang w:val="en-US" w:eastAsia="zh-CN"/>
        </w:rPr>
      </w:pPr>
      <w:r>
        <w:rPr>
          <w:rFonts w:hint="eastAsia"/>
          <w:lang w:val="en-US" w:eastAsia="zh-CN"/>
        </w:rPr>
        <w:t>从政策端看，近年来国家与自治区持续强化危险废物环境管控、推动制造业绿色低碳转型，严格限制含氟污染物排放与含氟危废无序处置；同时自治区战略性新兴产业发展规划明确提出，要推动锂基、碳基等新材料全产业链高端化工艺优化，实现关键配套材料自主可控。传统PVDF膜已难以适配新形势下的产业发展与政策要求，亟需绿色替代材料与系统解决方案。</w:t>
      </w:r>
    </w:p>
    <w:p w14:paraId="217B8166">
      <w:pPr>
        <w:pStyle w:val="21"/>
        <w:bidi w:val="0"/>
        <w:rPr>
          <w:rFonts w:hint="eastAsia"/>
          <w:lang w:val="en-US" w:eastAsia="zh-CN"/>
        </w:rPr>
      </w:pPr>
      <w:r>
        <w:rPr>
          <w:rFonts w:hint="eastAsia"/>
          <w:lang w:val="en-US" w:eastAsia="zh-CN"/>
        </w:rPr>
        <w:t>聚硫酸酯（PSE）超滤膜是新一代本征亲水型无氟绿色分离膜材料，分子链自带磺酸基团，无需额外改性即可具备优异的亲水性与抗污染性能，同时兼具耐强酸碱、耐有机溶剂、机械强度稳定等特性，从材料根源上破解了PVDF膜的固有缺陷。本项目紧扣自治区“锂基、碳基等新材料全产业链高端化工艺优化”重点支持方向，打破膜材料仅作为末端配套的传统定位，将膜分离技术深度嵌入“锂资源开采—前置净化—提锂富集—电池回收”、“碳基原料合成—过程纯化—溶剂循环—终端产品回收”的完整产业链闭环，开发适配各核心工序的绿色耐酸碱聚硫酸酯超滤膜产品，并在新疆本土实现工业化生产，通过膜技术赋能实现全流程工艺提质、降耗、减废，同步实现对传统PVDF膜的规模化绿色替代。项目通过重大工程实践，推动新疆锂基、碳基新材料产业向高端化、绿色化、自主可控转型升级，同时培养工程技术人才，具有重要的产业战略价值、生态环保价值、经济社会效益与人才培养意义。</w:t>
      </w:r>
    </w:p>
    <w:p w14:paraId="64FA964E">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Times New Roman" w:hAnsi="Times New Roman" w:eastAsia="楷体_GB2312" w:cs="Times New Roman"/>
          <w:b/>
          <w:bCs w:val="0"/>
          <w:color w:val="auto"/>
          <w:sz w:val="32"/>
          <w:szCs w:val="32"/>
          <w:lang w:val="en-US" w:eastAsia="zh-CN"/>
        </w:rPr>
      </w:pPr>
      <w:r>
        <w:rPr>
          <w:rFonts w:hint="eastAsia" w:ascii="Times New Roman" w:hAnsi="Times New Roman" w:eastAsia="楷体_GB2312" w:cs="Times New Roman"/>
          <w:b/>
          <w:bCs w:val="0"/>
          <w:color w:val="auto"/>
          <w:sz w:val="32"/>
          <w:szCs w:val="32"/>
          <w:lang w:val="en-US" w:eastAsia="zh-CN"/>
        </w:rPr>
        <w:t>3.2项目目标与考核指标</w:t>
      </w:r>
    </w:p>
    <w:p w14:paraId="003911A4">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Times New Roman" w:hAnsi="Times New Roman" w:eastAsia="仿宋_GB2312" w:cs="仿宋_GB2312"/>
          <w:b/>
          <w:bCs w:val="0"/>
          <w:color w:val="auto"/>
          <w:sz w:val="32"/>
          <w:szCs w:val="32"/>
          <w:lang w:val="en-US" w:eastAsia="zh-CN"/>
        </w:rPr>
      </w:pPr>
      <w:r>
        <w:rPr>
          <w:rFonts w:hint="eastAsia" w:ascii="Times New Roman" w:hAnsi="Times New Roman" w:eastAsia="仿宋_GB2312" w:cs="Times New Roman"/>
          <w:b/>
          <w:bCs w:val="0"/>
          <w:color w:val="auto"/>
          <w:kern w:val="2"/>
          <w:sz w:val="32"/>
          <w:szCs w:val="32"/>
          <w:lang w:val="en-US" w:eastAsia="zh-CN" w:bidi="ar-SA"/>
        </w:rPr>
        <w:t>（1）</w:t>
      </w:r>
      <w:r>
        <w:rPr>
          <w:rFonts w:hint="eastAsia" w:ascii="Times New Roman" w:hAnsi="Times New Roman" w:eastAsia="仿宋_GB2312" w:cs="仿宋_GB2312"/>
          <w:b/>
          <w:bCs w:val="0"/>
          <w:color w:val="auto"/>
          <w:sz w:val="32"/>
          <w:szCs w:val="32"/>
          <w:lang w:val="en-US" w:eastAsia="zh-CN"/>
        </w:rPr>
        <w:t>总体目标。</w:t>
      </w:r>
    </w:p>
    <w:p w14:paraId="77DB98C7">
      <w:pPr>
        <w:pStyle w:val="21"/>
        <w:bidi w:val="0"/>
        <w:rPr>
          <w:rFonts w:hint="eastAsia"/>
          <w:lang w:eastAsia="zh-CN"/>
        </w:rPr>
      </w:pPr>
      <w:r>
        <w:rPr>
          <w:rFonts w:hint="eastAsia"/>
          <w:lang w:val="en-US" w:eastAsia="zh-CN"/>
        </w:rPr>
        <w:t>本项目紧扣新疆锂基与碳基新材料产业绿色化、高端化转型需求，旨在解决传统PVDF膜“含氟不环保、不耐强酸碱、易污堵”的行业痛点。预期在项目期满后，将</w:t>
      </w:r>
      <w:r>
        <w:rPr>
          <w:rFonts w:hint="default"/>
          <w:lang w:val="en-US" w:eastAsia="zh-CN"/>
        </w:rPr>
        <w:t>攻克绿色无氟聚硫酸酯（PSE）超滤膜的规模化制备与产业化技术，研制出耐pH1~14极端工况的工业级膜组件，并在新疆本地锂电回收/盐湖提锂及碳基新材料生产线上实现PVDF膜的“原位绿色替代”工程示范。最终实现：建成年产</w:t>
      </w:r>
      <w:r>
        <w:rPr>
          <w:rFonts w:hint="eastAsia"/>
          <w:lang w:val="en-US" w:eastAsia="zh-CN"/>
        </w:rPr>
        <w:t>100</w:t>
      </w:r>
      <w:r>
        <w:rPr>
          <w:rFonts w:hint="default"/>
          <w:lang w:val="en-US" w:eastAsia="zh-CN"/>
        </w:rPr>
        <w:t>万平米的绿色PSE超滤膜生产线；示范工程连续稳定运行</w:t>
      </w:r>
      <w:r>
        <w:rPr>
          <w:rFonts w:hint="eastAsia"/>
          <w:lang w:val="en-US" w:eastAsia="zh-CN"/>
        </w:rPr>
        <w:t>6个月</w:t>
      </w:r>
      <w:r>
        <w:rPr>
          <w:rFonts w:hint="default"/>
          <w:lang w:val="en-US" w:eastAsia="zh-CN"/>
        </w:rPr>
        <w:t>以上；相比传统PVDF膜系统，</w:t>
      </w:r>
      <w:r>
        <w:rPr>
          <w:rFonts w:hint="eastAsia"/>
          <w:lang w:val="en-US" w:eastAsia="zh-CN"/>
        </w:rPr>
        <w:t>运</w:t>
      </w:r>
      <w:r>
        <w:rPr>
          <w:rFonts w:hint="default"/>
          <w:lang w:val="en-US" w:eastAsia="zh-CN"/>
        </w:rPr>
        <w:t>维成本较PVDF膜降低</w:t>
      </w:r>
      <w:r>
        <w:rPr>
          <w:rFonts w:hint="eastAsia"/>
          <w:lang w:val="en-US" w:eastAsia="zh-CN"/>
        </w:rPr>
        <w:t>20</w:t>
      </w:r>
      <w:r>
        <w:rPr>
          <w:rFonts w:hint="default"/>
          <w:lang w:val="en-US" w:eastAsia="zh-CN"/>
        </w:rPr>
        <w:t>%</w:t>
      </w:r>
      <w:r>
        <w:rPr>
          <w:rFonts w:hint="eastAsia"/>
          <w:lang w:val="en-US" w:eastAsia="zh-CN"/>
        </w:rPr>
        <w:t>。</w:t>
      </w:r>
      <w:r>
        <w:rPr>
          <w:rFonts w:hint="default"/>
          <w:lang w:val="en-US" w:eastAsia="zh-CN"/>
        </w:rPr>
        <w:t>全面提升新疆新材料全产业链的自主可控与绿色低碳水平。</w:t>
      </w:r>
    </w:p>
    <w:p w14:paraId="73CC4292">
      <w:pPr>
        <w:keepNext w:val="0"/>
        <w:keepLines w:val="0"/>
        <w:pageBreakBefore w:val="0"/>
        <w:widowControl w:val="0"/>
        <w:kinsoku/>
        <w:wordWrap/>
        <w:overflowPunct/>
        <w:topLinePunct w:val="0"/>
        <w:autoSpaceDE/>
        <w:autoSpaceDN/>
        <w:bidi w:val="0"/>
        <w:adjustRightInd/>
        <w:snapToGrid/>
        <w:spacing w:line="560" w:lineRule="exact"/>
        <w:ind w:right="0" w:firstLine="643" w:firstLineChars="200"/>
        <w:textAlignment w:val="auto"/>
        <w:rPr>
          <w:rFonts w:hint="eastAsia" w:ascii="Times New Roman" w:hAnsi="Times New Roman" w:eastAsia="仿宋_GB2312" w:cs="仿宋_GB2312"/>
          <w:b/>
          <w:bCs w:val="0"/>
          <w:color w:val="auto"/>
          <w:sz w:val="32"/>
          <w:szCs w:val="32"/>
          <w:lang w:val="en-US" w:eastAsia="zh-CN"/>
        </w:rPr>
      </w:pPr>
      <w:r>
        <w:rPr>
          <w:rFonts w:hint="eastAsia" w:ascii="Times New Roman" w:hAnsi="Times New Roman" w:eastAsia="仿宋_GB2312" w:cs="Times New Roman"/>
          <w:b/>
          <w:bCs w:val="0"/>
          <w:color w:val="auto"/>
          <w:kern w:val="2"/>
          <w:sz w:val="32"/>
          <w:szCs w:val="32"/>
          <w:lang w:val="en-US" w:eastAsia="zh-CN" w:bidi="ar-SA"/>
        </w:rPr>
        <w:t>（2）</w:t>
      </w:r>
      <w:r>
        <w:rPr>
          <w:rFonts w:hint="eastAsia" w:ascii="Times New Roman" w:hAnsi="Times New Roman" w:eastAsia="仿宋_GB2312" w:cs="仿宋_GB2312"/>
          <w:b/>
          <w:bCs w:val="0"/>
          <w:color w:val="auto"/>
          <w:sz w:val="32"/>
          <w:szCs w:val="32"/>
          <w:lang w:val="en-US" w:eastAsia="zh-CN"/>
        </w:rPr>
        <w:t>考核指标</w:t>
      </w:r>
    </w:p>
    <w:p w14:paraId="244B2F2A">
      <w:pPr>
        <w:pStyle w:val="21"/>
        <w:bidi w:val="0"/>
        <w:rPr>
          <w:rFonts w:hint="eastAsia"/>
          <w:lang w:val="en-US" w:eastAsia="zh-CN"/>
        </w:rPr>
      </w:pPr>
      <w:r>
        <w:rPr>
          <w:rFonts w:hint="eastAsia"/>
          <w:lang w:val="en-US" w:eastAsia="zh-CN"/>
        </w:rPr>
        <w:t>第一年度（2026.10-2027.09）：绿色PSE膜材料开发与中试线建设。</w:t>
      </w:r>
    </w:p>
    <w:p w14:paraId="09C30F52">
      <w:pPr>
        <w:pStyle w:val="21"/>
        <w:bidi w:val="0"/>
        <w:rPr>
          <w:rFonts w:hint="eastAsia"/>
          <w:lang w:val="en-US" w:eastAsia="zh-CN"/>
        </w:rPr>
      </w:pPr>
      <w:r>
        <w:rPr>
          <w:rFonts w:hint="eastAsia"/>
          <w:lang w:val="en-US" w:eastAsia="zh-CN"/>
        </w:rPr>
        <w:t>工作内容：</w:t>
      </w:r>
    </w:p>
    <w:p w14:paraId="58BE8CD0">
      <w:pPr>
        <w:pStyle w:val="21"/>
        <w:bidi w:val="0"/>
        <w:rPr>
          <w:rFonts w:hint="eastAsia"/>
          <w:lang w:val="en-US" w:eastAsia="zh-CN"/>
        </w:rPr>
      </w:pPr>
      <w:r>
        <w:rPr>
          <w:rFonts w:hint="eastAsia"/>
          <w:lang w:val="en-US" w:eastAsia="zh-CN"/>
        </w:rPr>
        <w:t>攻关无毒环保溶剂（如DMSO）体系下的聚硫酸酯（PSE）配方设计与相转化制膜工艺。</w:t>
      </w:r>
    </w:p>
    <w:p w14:paraId="7D8834E0">
      <w:pPr>
        <w:pStyle w:val="21"/>
        <w:bidi w:val="0"/>
        <w:rPr>
          <w:rFonts w:hint="eastAsia"/>
          <w:lang w:val="en-US" w:eastAsia="zh-CN"/>
        </w:rPr>
      </w:pPr>
      <w:r>
        <w:rPr>
          <w:rFonts w:hint="eastAsia"/>
          <w:lang w:val="en-US" w:eastAsia="zh-CN"/>
        </w:rPr>
        <w:t>2）进一步配方优化、铸膜液体系开发，制膜工艺参数优化，具体针对铸膜液粘度、致孔剂配比，凝固浴与芯液成分、温度等工艺参数进行优化，形成膜截面孔径梯度变化的结构。建立日产千米级的中空纤维膜丝连续化纺丝中试线。</w:t>
      </w:r>
    </w:p>
    <w:p w14:paraId="578D175F">
      <w:pPr>
        <w:pStyle w:val="21"/>
        <w:bidi w:val="0"/>
        <w:rPr>
          <w:rFonts w:hint="eastAsia"/>
          <w:lang w:val="en-US" w:eastAsia="zh-CN"/>
        </w:rPr>
      </w:pPr>
      <w:r>
        <w:rPr>
          <w:rFonts w:hint="eastAsia"/>
          <w:lang w:val="en-US" w:eastAsia="zh-CN"/>
        </w:rPr>
        <w:t>3）开展膜丝在模拟锂电酸浸液、碳纤维纺丝溶剂等极端介质中的耐受性评价，对新疆锂基、碳基产业典型工况水质开展适配性试验。</w:t>
      </w:r>
    </w:p>
    <w:p w14:paraId="422B8AF5">
      <w:pPr>
        <w:pStyle w:val="21"/>
        <w:bidi w:val="0"/>
        <w:rPr>
          <w:rFonts w:hint="default"/>
          <w:lang w:val="en-US" w:eastAsia="zh-CN"/>
        </w:rPr>
      </w:pPr>
      <w:r>
        <w:rPr>
          <w:rFonts w:hint="eastAsia"/>
          <w:lang w:val="en-US" w:eastAsia="zh-CN"/>
        </w:rPr>
        <w:t>考核指标：</w:t>
      </w:r>
    </w:p>
    <w:p w14:paraId="5F3D536E">
      <w:pPr>
        <w:pStyle w:val="21"/>
        <w:bidi w:val="0"/>
        <w:rPr>
          <w:rFonts w:hint="eastAsia"/>
          <w:lang w:val="en-US" w:eastAsia="zh-CN"/>
        </w:rPr>
      </w:pPr>
      <w:r>
        <w:rPr>
          <w:rFonts w:hint="eastAsia"/>
          <w:lang w:val="en-US" w:eastAsia="zh-CN"/>
        </w:rPr>
        <w:t>膜丝基本性能：纯水通量≥450L/(m</w:t>
      </w:r>
      <w:r>
        <w:rPr>
          <w:rFonts w:hint="eastAsia"/>
          <w:vertAlign w:val="superscript"/>
          <w:lang w:val="en-US" w:eastAsia="zh-CN"/>
        </w:rPr>
        <w:t>2</w:t>
      </w:r>
      <w:r>
        <w:rPr>
          <w:rFonts w:hint="eastAsia"/>
          <w:lang w:val="en-US" w:eastAsia="zh-CN"/>
        </w:rPr>
        <w:t>·h·0.1MPa)，截留分子量控制在5-10万道尔顿，抗拉应力≥3N，亲水防污指标：膜表面纯水接触角不高于45°。</w:t>
      </w:r>
    </w:p>
    <w:p w14:paraId="3363E5A5">
      <w:pPr>
        <w:pStyle w:val="21"/>
        <w:bidi w:val="0"/>
        <w:rPr>
          <w:rFonts w:hint="eastAsia"/>
          <w:lang w:val="en-US" w:eastAsia="zh-CN"/>
        </w:rPr>
      </w:pPr>
      <w:r>
        <w:rPr>
          <w:rFonts w:hint="eastAsia"/>
          <w:lang w:val="en-US" w:eastAsia="zh-CN"/>
        </w:rPr>
        <w:t>阶段性成果：</w:t>
      </w:r>
    </w:p>
    <w:p w14:paraId="2823AF94">
      <w:pPr>
        <w:pStyle w:val="21"/>
        <w:bidi w:val="0"/>
        <w:rPr>
          <w:rFonts w:hint="default"/>
          <w:lang w:val="en-US" w:eastAsia="zh-CN"/>
        </w:rPr>
      </w:pPr>
      <w:r>
        <w:rPr>
          <w:rFonts w:hint="eastAsia"/>
          <w:lang w:val="en-US" w:eastAsia="zh-CN"/>
        </w:rPr>
        <w:t>申请发明专利1项；建成PSE中空纤维膜丝纺丝中试线1条。</w:t>
      </w:r>
    </w:p>
    <w:p w14:paraId="2FB84CC1">
      <w:pPr>
        <w:pStyle w:val="21"/>
        <w:bidi w:val="0"/>
        <w:rPr>
          <w:rFonts w:hint="eastAsia"/>
          <w:lang w:val="en-US" w:eastAsia="zh-CN"/>
        </w:rPr>
      </w:pPr>
      <w:r>
        <w:rPr>
          <w:rFonts w:hint="eastAsia"/>
          <w:lang w:val="en-US" w:eastAsia="zh-CN"/>
        </w:rPr>
        <w:t>第二年度（2026.10-2027.09）：耐极端工况组件封装攻关与产业化量产。</w:t>
      </w:r>
    </w:p>
    <w:p w14:paraId="4CCB170A">
      <w:pPr>
        <w:pStyle w:val="21"/>
        <w:bidi w:val="0"/>
        <w:rPr>
          <w:rFonts w:hint="eastAsia"/>
          <w:lang w:val="en-US" w:eastAsia="zh-CN"/>
        </w:rPr>
      </w:pPr>
      <w:r>
        <w:rPr>
          <w:rFonts w:hint="eastAsia"/>
          <w:lang w:val="en-US" w:eastAsia="zh-CN"/>
        </w:rPr>
        <w:t>工作内容：</w:t>
      </w:r>
    </w:p>
    <w:p w14:paraId="69A78C9F">
      <w:pPr>
        <w:pStyle w:val="21"/>
        <w:bidi w:val="0"/>
        <w:rPr>
          <w:rFonts w:hint="eastAsia"/>
          <w:lang w:val="en-US" w:eastAsia="zh-CN"/>
        </w:rPr>
      </w:pPr>
      <w:r>
        <w:rPr>
          <w:rFonts w:hint="eastAsia"/>
          <w:lang w:val="en-US" w:eastAsia="zh-CN"/>
        </w:rPr>
        <w:t>1）研究耐强酸碱、耐有机溶剂的特种浇铸用胶，解决极端工况下组件漏胶、脱胶问题。</w:t>
      </w:r>
    </w:p>
    <w:p w14:paraId="4F5821E4">
      <w:pPr>
        <w:pStyle w:val="21"/>
        <w:bidi w:val="0"/>
        <w:rPr>
          <w:rFonts w:hint="eastAsia"/>
          <w:lang w:val="en-US" w:eastAsia="zh-CN"/>
        </w:rPr>
      </w:pPr>
      <w:r>
        <w:rPr>
          <w:rFonts w:hint="eastAsia"/>
          <w:lang w:val="en-US" w:eastAsia="zh-CN"/>
        </w:rPr>
        <w:t>2）优化51m</w:t>
      </w:r>
      <w:r>
        <w:rPr>
          <w:rFonts w:hint="eastAsia"/>
          <w:vertAlign w:val="superscript"/>
          <w:lang w:val="en-US" w:eastAsia="zh-CN"/>
        </w:rPr>
        <w:t>2</w:t>
      </w:r>
      <w:r>
        <w:rPr>
          <w:rFonts w:hint="eastAsia"/>
          <w:lang w:val="en-US" w:eastAsia="zh-CN"/>
        </w:rPr>
        <w:t>和77m</w:t>
      </w:r>
      <w:r>
        <w:rPr>
          <w:rFonts w:hint="eastAsia"/>
          <w:vertAlign w:val="superscript"/>
          <w:lang w:val="en-US" w:eastAsia="zh-CN"/>
        </w:rPr>
        <w:t>2</w:t>
      </w:r>
      <w:r>
        <w:rPr>
          <w:rFonts w:hint="eastAsia"/>
          <w:lang w:val="en-US" w:eastAsia="zh-CN"/>
        </w:rPr>
        <w:t>两种膜面积的中空纤维膜组件的流体力学封装结构，研制工业级耐酸碱膜组件。</w:t>
      </w:r>
    </w:p>
    <w:p w14:paraId="2E97DE1A">
      <w:pPr>
        <w:pStyle w:val="21"/>
        <w:bidi w:val="0"/>
        <w:rPr>
          <w:rFonts w:hint="eastAsia"/>
          <w:lang w:val="en-US" w:eastAsia="zh-CN"/>
        </w:rPr>
      </w:pPr>
      <w:r>
        <w:rPr>
          <w:rFonts w:hint="eastAsia"/>
          <w:lang w:val="en-US" w:eastAsia="zh-CN"/>
        </w:rPr>
        <w:t>3）扩建并调试自动成套生产设备，实现PSE超滤膜的规模化产业化生产。</w:t>
      </w:r>
    </w:p>
    <w:p w14:paraId="4EB94CB9">
      <w:pPr>
        <w:pStyle w:val="21"/>
        <w:bidi w:val="0"/>
        <w:rPr>
          <w:rFonts w:hint="default"/>
          <w:lang w:val="en-US" w:eastAsia="zh-CN"/>
        </w:rPr>
      </w:pPr>
      <w:r>
        <w:rPr>
          <w:rFonts w:hint="eastAsia"/>
          <w:lang w:val="en-US" w:eastAsia="zh-CN"/>
        </w:rPr>
        <w:t>考核指标：</w:t>
      </w:r>
    </w:p>
    <w:p w14:paraId="32B636E6">
      <w:pPr>
        <w:pStyle w:val="21"/>
        <w:bidi w:val="0"/>
        <w:rPr>
          <w:rFonts w:hint="eastAsia"/>
          <w:lang w:val="en-US" w:eastAsia="zh-CN"/>
        </w:rPr>
      </w:pPr>
      <w:r>
        <w:rPr>
          <w:rFonts w:hint="eastAsia"/>
          <w:lang w:val="en-US" w:eastAsia="zh-CN"/>
        </w:rPr>
        <w:t>组件耐受性能：在10%浓度的强酸或强碱溶液中浸泡720后，膜拉伸强度保持率90%，组件无溶胀、无开裂、无漏胶。</w:t>
      </w:r>
    </w:p>
    <w:p w14:paraId="1DFE31FF">
      <w:pPr>
        <w:pStyle w:val="21"/>
        <w:bidi w:val="0"/>
        <w:rPr>
          <w:rFonts w:hint="eastAsia"/>
          <w:lang w:val="en-US" w:eastAsia="zh-CN"/>
        </w:rPr>
      </w:pPr>
      <w:r>
        <w:rPr>
          <w:rFonts w:hint="eastAsia"/>
          <w:lang w:val="en-US" w:eastAsia="zh-CN"/>
        </w:rPr>
        <w:t>耐溶剂性能：在DMSO、DMF溶剂体系（浓度20%）下稳定运行，低聚物截留率95%。</w:t>
      </w:r>
    </w:p>
    <w:p w14:paraId="496DBE32">
      <w:pPr>
        <w:pStyle w:val="21"/>
        <w:bidi w:val="0"/>
        <w:rPr>
          <w:rFonts w:hint="eastAsia"/>
          <w:lang w:val="en-US" w:eastAsia="zh-CN"/>
        </w:rPr>
      </w:pPr>
      <w:r>
        <w:rPr>
          <w:rFonts w:hint="eastAsia"/>
          <w:lang w:val="en-US" w:eastAsia="zh-CN"/>
        </w:rPr>
        <w:t>产业化规模：建成年产100万平米的聚硫酸酯（PSE）超滤膜及组件产业化生产线，具备工业级组件批量供应能力。</w:t>
      </w:r>
    </w:p>
    <w:p w14:paraId="12A3E2E6">
      <w:pPr>
        <w:pStyle w:val="21"/>
        <w:bidi w:val="0"/>
        <w:rPr>
          <w:rFonts w:hint="eastAsia"/>
          <w:lang w:val="en-US" w:eastAsia="zh-CN"/>
        </w:rPr>
      </w:pPr>
      <w:r>
        <w:rPr>
          <w:rFonts w:hint="eastAsia"/>
          <w:lang w:val="en-US" w:eastAsia="zh-CN"/>
        </w:rPr>
        <w:t>阶段性成果：申请专利2项，产品通过三方检测结构合格。</w:t>
      </w:r>
    </w:p>
    <w:p w14:paraId="6FFD6640">
      <w:pPr>
        <w:pStyle w:val="21"/>
        <w:bidi w:val="0"/>
        <w:rPr>
          <w:rFonts w:hint="eastAsia"/>
          <w:lang w:val="en-US" w:eastAsia="zh-CN"/>
        </w:rPr>
      </w:pPr>
      <w:r>
        <w:rPr>
          <w:rFonts w:hint="eastAsia"/>
          <w:lang w:val="en-US" w:eastAsia="zh-CN"/>
        </w:rPr>
        <w:t>第三年度（2028.10-2029.09）：PVDF膜替代工程示范与系统优化。</w:t>
      </w:r>
    </w:p>
    <w:p w14:paraId="0FC1CA95">
      <w:pPr>
        <w:pStyle w:val="21"/>
        <w:bidi w:val="0"/>
        <w:rPr>
          <w:rFonts w:hint="eastAsia"/>
          <w:lang w:val="en-US" w:eastAsia="zh-CN"/>
        </w:rPr>
      </w:pPr>
      <w:r>
        <w:rPr>
          <w:rFonts w:hint="eastAsia"/>
          <w:lang w:val="en-US" w:eastAsia="zh-CN"/>
        </w:rPr>
        <w:t>1）联合新疆本地龙头企业，在锂电回收酸浸液澄清或碳基新材料（碳纤维/纳米碳）洗涤生产线上，安装PSE膜组件，实施原位无损替代。</w:t>
      </w:r>
    </w:p>
    <w:p w14:paraId="16EC2ADC">
      <w:pPr>
        <w:pStyle w:val="21"/>
        <w:bidi w:val="0"/>
        <w:rPr>
          <w:rFonts w:hint="eastAsia"/>
          <w:lang w:val="en-US" w:eastAsia="zh-CN"/>
        </w:rPr>
      </w:pPr>
      <w:r>
        <w:rPr>
          <w:rFonts w:hint="eastAsia"/>
          <w:lang w:val="en-US" w:eastAsia="zh-CN"/>
        </w:rPr>
        <w:t>2）优化错流过滤流体力学参数，建立高效的自动反冲洗与绿色化学清洗方案。</w:t>
      </w:r>
    </w:p>
    <w:p w14:paraId="75F6D9B4">
      <w:pPr>
        <w:pStyle w:val="21"/>
        <w:bidi w:val="0"/>
        <w:rPr>
          <w:rFonts w:hint="eastAsia"/>
          <w:lang w:val="en-US" w:eastAsia="zh-CN"/>
        </w:rPr>
      </w:pPr>
      <w:r>
        <w:rPr>
          <w:rFonts w:hint="eastAsia"/>
          <w:lang w:val="en-US" w:eastAsia="zh-CN"/>
        </w:rPr>
        <w:t>3）收集工程运行数据，编制成套的工程运行技术规范与推广方案。</w:t>
      </w:r>
    </w:p>
    <w:p w14:paraId="29E20EA6">
      <w:pPr>
        <w:pStyle w:val="21"/>
        <w:bidi w:val="0"/>
        <w:rPr>
          <w:rFonts w:hint="default"/>
          <w:lang w:val="en-US" w:eastAsia="zh-CN"/>
        </w:rPr>
      </w:pPr>
      <w:r>
        <w:rPr>
          <w:rFonts w:hint="eastAsia"/>
          <w:lang w:val="en-US" w:eastAsia="zh-CN"/>
        </w:rPr>
        <w:t>考核指标</w:t>
      </w:r>
    </w:p>
    <w:p w14:paraId="5772D8A4">
      <w:pPr>
        <w:pStyle w:val="21"/>
        <w:bidi w:val="0"/>
        <w:rPr>
          <w:rFonts w:hint="eastAsia"/>
          <w:lang w:val="en-US" w:eastAsia="zh-CN"/>
        </w:rPr>
      </w:pPr>
      <w:r>
        <w:rPr>
          <w:rFonts w:hint="eastAsia"/>
          <w:lang w:val="en-US" w:eastAsia="zh-CN"/>
        </w:rPr>
        <w:t>示范工程规模：在新疆本地建立PVDF膜原位替代示范装置1</w:t>
      </w:r>
      <w:bookmarkStart w:id="7" w:name="_GoBack"/>
      <w:bookmarkEnd w:id="7"/>
      <w:r>
        <w:rPr>
          <w:rFonts w:hint="eastAsia"/>
          <w:lang w:val="en-US" w:eastAsia="zh-CN"/>
        </w:rPr>
        <w:t>套，日处理量≥50m</w:t>
      </w:r>
      <w:r>
        <w:rPr>
          <w:rFonts w:hint="eastAsia"/>
          <w:vertAlign w:val="superscript"/>
          <w:lang w:val="en-US" w:eastAsia="zh-CN"/>
        </w:rPr>
        <w:t>3</w:t>
      </w:r>
      <w:r>
        <w:rPr>
          <w:rFonts w:hint="eastAsia"/>
          <w:lang w:val="en-US" w:eastAsia="zh-CN"/>
        </w:rPr>
        <w:t>/d。</w:t>
      </w:r>
    </w:p>
    <w:p w14:paraId="52B905FE">
      <w:pPr>
        <w:pStyle w:val="21"/>
        <w:bidi w:val="0"/>
        <w:rPr>
          <w:rFonts w:hint="eastAsia"/>
          <w:lang w:val="en-US" w:eastAsia="zh-CN"/>
        </w:rPr>
      </w:pPr>
      <w:r>
        <w:rPr>
          <w:rFonts w:hint="eastAsia"/>
          <w:lang w:val="en-US" w:eastAsia="zh-CN"/>
        </w:rPr>
        <w:t>运行稳定指标：示范系统连续稳定运行6个月以上。</w:t>
      </w:r>
    </w:p>
    <w:p w14:paraId="00A8923E">
      <w:pPr>
        <w:pStyle w:val="21"/>
        <w:bidi w:val="0"/>
        <w:rPr>
          <w:rFonts w:hint="eastAsia"/>
          <w:lang w:val="en-US" w:eastAsia="zh-CN"/>
        </w:rPr>
      </w:pPr>
      <w:r>
        <w:rPr>
          <w:rFonts w:hint="eastAsia"/>
          <w:lang w:val="en-US" w:eastAsia="zh-CN"/>
        </w:rPr>
        <w:t>降本增效指标：相比原PVDF系统，化学清洗药剂消耗降低30%，示范线综合运行成本降低20%。</w:t>
      </w:r>
    </w:p>
    <w:p w14:paraId="1ACB0198">
      <w:pPr>
        <w:pStyle w:val="21"/>
        <w:bidi w:val="0"/>
        <w:rPr>
          <w:rFonts w:hint="eastAsia"/>
          <w:lang w:val="en-US" w:eastAsia="zh-CN"/>
        </w:rPr>
      </w:pPr>
      <w:r>
        <w:rPr>
          <w:rFonts w:hint="eastAsia"/>
          <w:lang w:val="en-US" w:eastAsia="zh-CN"/>
        </w:rPr>
        <w:t>阶段性成果：形成《聚硫酸酯超滤膜替代PVDF膜工程运行与维护技术规范》1份；培养企业工程技术骨干3人。</w:t>
      </w:r>
    </w:p>
    <w:bookmarkEnd w:id="6"/>
    <w:p w14:paraId="18045FDB">
      <w:pPr>
        <w:pStyle w:val="9"/>
        <w:jc w:val="both"/>
      </w:pPr>
    </w:p>
    <w:sectPr>
      <w:footerReference r:id="rId3" w:type="default"/>
      <w:pgSz w:w="11906" w:h="16838"/>
      <w:pgMar w:top="2098" w:right="1531" w:bottom="1984"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B5A5ACF-7713-482F-80B0-0E5706DB42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06B6AC83-89D5-4029-9242-CAAC62AA78D2}"/>
  </w:font>
  <w:font w:name="Cambria">
    <w:panose1 w:val="02040503050406030204"/>
    <w:charset w:val="00"/>
    <w:family w:val="roman"/>
    <w:pitch w:val="default"/>
    <w:sig w:usb0="E00006FF" w:usb1="420024FF" w:usb2="02000000" w:usb3="00000000" w:csb0="2000019F" w:csb1="00000000"/>
  </w:font>
  <w:font w:name="方正隶书_GBK">
    <w:altName w:val="隶书"/>
    <w:panose1 w:val="02000000000000000000"/>
    <w:charset w:val="86"/>
    <w:family w:val="auto"/>
    <w:pitch w:val="default"/>
    <w:sig w:usb0="00000000" w:usb1="00000000" w:usb2="00000000" w:usb3="00000000" w:csb0="00040000" w:csb1="00000000"/>
  </w:font>
  <w:font w:name="隶书">
    <w:panose1 w:val="02010509060101010101"/>
    <w:charset w:val="86"/>
    <w:family w:val="auto"/>
    <w:pitch w:val="default"/>
    <w:sig w:usb0="00000001" w:usb1="080E0000" w:usb2="00000000" w:usb3="00000000" w:csb0="00040000" w:csb1="00000000"/>
  </w:font>
  <w:font w:name="汉仪书宋二S">
    <w:altName w:val="宋体"/>
    <w:panose1 w:val="00020600040101010101"/>
    <w:charset w:val="86"/>
    <w:family w:val="auto"/>
    <w:pitch w:val="default"/>
    <w:sig w:usb0="00000000" w:usb1="00000000" w:usb2="00000016" w:usb3="00000000" w:csb0="00040000" w:csb1="00000000"/>
  </w:font>
  <w:font w:name="微软雅黑">
    <w:panose1 w:val="020B0503020204020204"/>
    <w:charset w:val="86"/>
    <w:family w:val="auto"/>
    <w:pitch w:val="default"/>
    <w:sig w:usb0="80000287" w:usb1="2ACF3C50" w:usb2="00000016" w:usb3="00000000" w:csb0="0004001F" w:csb1="00000000"/>
    <w:embedRegular r:id="rId3" w:fontKey="{D786DC41-6259-46DD-B0E9-94E7221C4823}"/>
  </w:font>
  <w:font w:name="仿宋">
    <w:panose1 w:val="02010609060101010101"/>
    <w:charset w:val="86"/>
    <w:family w:val="auto"/>
    <w:pitch w:val="default"/>
    <w:sig w:usb0="800002BF" w:usb1="38CF7CFA" w:usb2="00000016" w:usb3="00000000" w:csb0="00040001" w:csb1="00000000"/>
    <w:embedRegular r:id="rId4" w:fontKey="{DE624FA2-8465-4F89-8F06-5C3C5CC8688A}"/>
  </w:font>
  <w:font w:name="楷体_GB2312">
    <w:panose1 w:val="02010609030101010101"/>
    <w:charset w:val="86"/>
    <w:family w:val="auto"/>
    <w:pitch w:val="default"/>
    <w:sig w:usb0="00000001" w:usb1="080E0000" w:usb2="00000000" w:usb3="00000000" w:csb0="00040000" w:csb1="00000000"/>
    <w:embedRegular r:id="rId5" w:fontKey="{CB1F6B1A-BC04-416E-B237-E9DA32911B8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868CA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C93B5EE">
                          <w:pPr>
                            <w:pStyle w:val="1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DWf4nndAQAAvgMAAA4AAAAAAAAA&#10;AQAgAAAAHgEAAGRycy9lMm9Eb2MueG1sUEsFBgAAAAAGAAYAWQEAAG0FAAAAAA==&#10;">
              <v:fill on="f" focussize="0,0"/>
              <v:stroke on="f"/>
              <v:imagedata o:title=""/>
              <o:lock v:ext="edit" aspectratio="f"/>
              <v:textbox inset="0mm,0mm,0mm,0mm" style="mso-fit-shape-to-text:t;">
                <w:txbxContent>
                  <w:p w14:paraId="4C93B5EE">
                    <w:pPr>
                      <w:pStyle w:val="10"/>
                      <w:rPr>
                        <w:rFonts w:hint="eastAsia" w:ascii="宋体" w:hAnsi="宋体" w:eastAsia="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D72C4F"/>
    <w:rsid w:val="004E04BD"/>
    <w:rsid w:val="018738FC"/>
    <w:rsid w:val="02F27B53"/>
    <w:rsid w:val="035D7AD7"/>
    <w:rsid w:val="048E5810"/>
    <w:rsid w:val="048F0D26"/>
    <w:rsid w:val="04936FF2"/>
    <w:rsid w:val="04FA6940"/>
    <w:rsid w:val="053718C6"/>
    <w:rsid w:val="05EC4AE5"/>
    <w:rsid w:val="060365D0"/>
    <w:rsid w:val="061924FC"/>
    <w:rsid w:val="06D50E5E"/>
    <w:rsid w:val="06EB3EF9"/>
    <w:rsid w:val="076D234F"/>
    <w:rsid w:val="079E22A2"/>
    <w:rsid w:val="083E2E96"/>
    <w:rsid w:val="086521EE"/>
    <w:rsid w:val="095D3FD0"/>
    <w:rsid w:val="09AB4631"/>
    <w:rsid w:val="0A3F0B59"/>
    <w:rsid w:val="0A611896"/>
    <w:rsid w:val="0A8A747D"/>
    <w:rsid w:val="0A9D45FA"/>
    <w:rsid w:val="0B553115"/>
    <w:rsid w:val="0B802B08"/>
    <w:rsid w:val="0BA54769"/>
    <w:rsid w:val="0BA577CB"/>
    <w:rsid w:val="0BB3DF30"/>
    <w:rsid w:val="0E4D2AEF"/>
    <w:rsid w:val="0F092096"/>
    <w:rsid w:val="0F5F1326"/>
    <w:rsid w:val="103448C8"/>
    <w:rsid w:val="10482F9E"/>
    <w:rsid w:val="10AC0EB3"/>
    <w:rsid w:val="1132007E"/>
    <w:rsid w:val="11673320"/>
    <w:rsid w:val="12733861"/>
    <w:rsid w:val="138F0872"/>
    <w:rsid w:val="13913395"/>
    <w:rsid w:val="13FFD012"/>
    <w:rsid w:val="14071F8B"/>
    <w:rsid w:val="152D33BF"/>
    <w:rsid w:val="154D25EA"/>
    <w:rsid w:val="15643BA8"/>
    <w:rsid w:val="164202AD"/>
    <w:rsid w:val="16915513"/>
    <w:rsid w:val="172F4AF3"/>
    <w:rsid w:val="175353A3"/>
    <w:rsid w:val="176201D3"/>
    <w:rsid w:val="176ECE24"/>
    <w:rsid w:val="17A86360"/>
    <w:rsid w:val="17CE0E41"/>
    <w:rsid w:val="17D898AC"/>
    <w:rsid w:val="17EEEDBF"/>
    <w:rsid w:val="18163111"/>
    <w:rsid w:val="183870C1"/>
    <w:rsid w:val="184E2D57"/>
    <w:rsid w:val="1888181D"/>
    <w:rsid w:val="18887FCB"/>
    <w:rsid w:val="18B0330F"/>
    <w:rsid w:val="190B146E"/>
    <w:rsid w:val="19377C8F"/>
    <w:rsid w:val="1ABB6AE3"/>
    <w:rsid w:val="1ABFDDF8"/>
    <w:rsid w:val="1B163A7E"/>
    <w:rsid w:val="1B8B54DB"/>
    <w:rsid w:val="1BE52E52"/>
    <w:rsid w:val="1C687BA8"/>
    <w:rsid w:val="1CFD391F"/>
    <w:rsid w:val="1D3B5982"/>
    <w:rsid w:val="1D881FA0"/>
    <w:rsid w:val="1E9623BB"/>
    <w:rsid w:val="1F603B68"/>
    <w:rsid w:val="1F772C52"/>
    <w:rsid w:val="1FD6075F"/>
    <w:rsid w:val="1FE86CDF"/>
    <w:rsid w:val="1FEE700F"/>
    <w:rsid w:val="1FFB5506"/>
    <w:rsid w:val="201A4E63"/>
    <w:rsid w:val="2028524A"/>
    <w:rsid w:val="20611FDC"/>
    <w:rsid w:val="209B273D"/>
    <w:rsid w:val="20C36A99"/>
    <w:rsid w:val="2112399A"/>
    <w:rsid w:val="213D4C18"/>
    <w:rsid w:val="21723870"/>
    <w:rsid w:val="23C18D49"/>
    <w:rsid w:val="262E70EB"/>
    <w:rsid w:val="27765E26"/>
    <w:rsid w:val="278538E8"/>
    <w:rsid w:val="27AC6415"/>
    <w:rsid w:val="27BB0F5E"/>
    <w:rsid w:val="27F5401C"/>
    <w:rsid w:val="28B121D1"/>
    <w:rsid w:val="29851F68"/>
    <w:rsid w:val="29EB56E3"/>
    <w:rsid w:val="2A7D15DE"/>
    <w:rsid w:val="2ABE10E0"/>
    <w:rsid w:val="2B575927"/>
    <w:rsid w:val="2B5D30B4"/>
    <w:rsid w:val="2BFB78B4"/>
    <w:rsid w:val="2D755061"/>
    <w:rsid w:val="2DC0798D"/>
    <w:rsid w:val="2DD815E9"/>
    <w:rsid w:val="2DFBD1DC"/>
    <w:rsid w:val="2EEB2B88"/>
    <w:rsid w:val="2EF6C90D"/>
    <w:rsid w:val="2F6F3887"/>
    <w:rsid w:val="30156509"/>
    <w:rsid w:val="301F52AD"/>
    <w:rsid w:val="305B205D"/>
    <w:rsid w:val="30AC4FEF"/>
    <w:rsid w:val="30DD6966"/>
    <w:rsid w:val="31297051"/>
    <w:rsid w:val="31561180"/>
    <w:rsid w:val="317D6619"/>
    <w:rsid w:val="32491A0D"/>
    <w:rsid w:val="32992287"/>
    <w:rsid w:val="33510202"/>
    <w:rsid w:val="337D3A41"/>
    <w:rsid w:val="33A361F5"/>
    <w:rsid w:val="33F82B23"/>
    <w:rsid w:val="3429665D"/>
    <w:rsid w:val="34443F4D"/>
    <w:rsid w:val="350720B6"/>
    <w:rsid w:val="350C1C4A"/>
    <w:rsid w:val="351B0B66"/>
    <w:rsid w:val="35BF81FF"/>
    <w:rsid w:val="36F84319"/>
    <w:rsid w:val="37005E48"/>
    <w:rsid w:val="37242B85"/>
    <w:rsid w:val="3725423B"/>
    <w:rsid w:val="37264233"/>
    <w:rsid w:val="37533A8E"/>
    <w:rsid w:val="37B13C85"/>
    <w:rsid w:val="37EE7034"/>
    <w:rsid w:val="384A0198"/>
    <w:rsid w:val="385DAAFE"/>
    <w:rsid w:val="38D61A92"/>
    <w:rsid w:val="39527917"/>
    <w:rsid w:val="39B707A1"/>
    <w:rsid w:val="3A3CC4DA"/>
    <w:rsid w:val="3A824DB6"/>
    <w:rsid w:val="3ABA510E"/>
    <w:rsid w:val="3B1D1ECA"/>
    <w:rsid w:val="3B706362"/>
    <w:rsid w:val="3B7F105D"/>
    <w:rsid w:val="3BE949C1"/>
    <w:rsid w:val="3BFF2E54"/>
    <w:rsid w:val="3C02537B"/>
    <w:rsid w:val="3C184C27"/>
    <w:rsid w:val="3C243871"/>
    <w:rsid w:val="3C9708C1"/>
    <w:rsid w:val="3D1D2B74"/>
    <w:rsid w:val="3D3E5B6F"/>
    <w:rsid w:val="3DB78736"/>
    <w:rsid w:val="3DD55B79"/>
    <w:rsid w:val="3DD72C4F"/>
    <w:rsid w:val="3E0A7D2A"/>
    <w:rsid w:val="3E1A6F47"/>
    <w:rsid w:val="3EFA3716"/>
    <w:rsid w:val="3FBF60D3"/>
    <w:rsid w:val="3FDA3536"/>
    <w:rsid w:val="3FEFCF74"/>
    <w:rsid w:val="3FFBAFC9"/>
    <w:rsid w:val="401150BE"/>
    <w:rsid w:val="40235EC2"/>
    <w:rsid w:val="403C65F0"/>
    <w:rsid w:val="4047605E"/>
    <w:rsid w:val="409D07CE"/>
    <w:rsid w:val="416458BD"/>
    <w:rsid w:val="42084D83"/>
    <w:rsid w:val="4216717B"/>
    <w:rsid w:val="430567F7"/>
    <w:rsid w:val="4317479F"/>
    <w:rsid w:val="43454BD3"/>
    <w:rsid w:val="445F4788"/>
    <w:rsid w:val="44B738AE"/>
    <w:rsid w:val="45474732"/>
    <w:rsid w:val="454959B9"/>
    <w:rsid w:val="45F23334"/>
    <w:rsid w:val="46905CD0"/>
    <w:rsid w:val="46F647D5"/>
    <w:rsid w:val="46F756C2"/>
    <w:rsid w:val="47FC782A"/>
    <w:rsid w:val="491D1E84"/>
    <w:rsid w:val="4A502F2D"/>
    <w:rsid w:val="4A8E5FA5"/>
    <w:rsid w:val="4ABD14F2"/>
    <w:rsid w:val="4AED437B"/>
    <w:rsid w:val="4BA7122B"/>
    <w:rsid w:val="4BB11B3A"/>
    <w:rsid w:val="4BBE132D"/>
    <w:rsid w:val="4BCB5E91"/>
    <w:rsid w:val="4C0D0008"/>
    <w:rsid w:val="4C5C2F8D"/>
    <w:rsid w:val="4D3A610E"/>
    <w:rsid w:val="4D425B8B"/>
    <w:rsid w:val="4DF135F0"/>
    <w:rsid w:val="4E626012"/>
    <w:rsid w:val="4E825FC4"/>
    <w:rsid w:val="4ED62774"/>
    <w:rsid w:val="4F760F6C"/>
    <w:rsid w:val="4FBF7E4E"/>
    <w:rsid w:val="4FBF9EFD"/>
    <w:rsid w:val="4FFDEE69"/>
    <w:rsid w:val="4FFFCEC6"/>
    <w:rsid w:val="5007625F"/>
    <w:rsid w:val="500E10DF"/>
    <w:rsid w:val="51637B78"/>
    <w:rsid w:val="51E728D6"/>
    <w:rsid w:val="51E932D2"/>
    <w:rsid w:val="52C938E1"/>
    <w:rsid w:val="52EA4078"/>
    <w:rsid w:val="53311227"/>
    <w:rsid w:val="536F1AF1"/>
    <w:rsid w:val="537F43FF"/>
    <w:rsid w:val="537F737F"/>
    <w:rsid w:val="53D172F9"/>
    <w:rsid w:val="53DA1367"/>
    <w:rsid w:val="544A10D6"/>
    <w:rsid w:val="556A6EF7"/>
    <w:rsid w:val="55C9230D"/>
    <w:rsid w:val="5647129A"/>
    <w:rsid w:val="56586573"/>
    <w:rsid w:val="565B37BE"/>
    <w:rsid w:val="56A603BA"/>
    <w:rsid w:val="56AF3EEF"/>
    <w:rsid w:val="56E66484"/>
    <w:rsid w:val="5714471F"/>
    <w:rsid w:val="57283E0B"/>
    <w:rsid w:val="57572926"/>
    <w:rsid w:val="57B5D409"/>
    <w:rsid w:val="58612C0E"/>
    <w:rsid w:val="58A57515"/>
    <w:rsid w:val="58CE7766"/>
    <w:rsid w:val="591064E5"/>
    <w:rsid w:val="597485A4"/>
    <w:rsid w:val="59A301AC"/>
    <w:rsid w:val="5A191A40"/>
    <w:rsid w:val="5A473287"/>
    <w:rsid w:val="5A676709"/>
    <w:rsid w:val="5AFB7959"/>
    <w:rsid w:val="5B8235A4"/>
    <w:rsid w:val="5B9F3485"/>
    <w:rsid w:val="5D3D4E41"/>
    <w:rsid w:val="5D7A3273"/>
    <w:rsid w:val="5DBFE78F"/>
    <w:rsid w:val="5DC9D1B7"/>
    <w:rsid w:val="5E7245DC"/>
    <w:rsid w:val="5ED26F28"/>
    <w:rsid w:val="5F544E26"/>
    <w:rsid w:val="5FB25B8B"/>
    <w:rsid w:val="5FE13491"/>
    <w:rsid w:val="5FEA48E9"/>
    <w:rsid w:val="5FFF0400"/>
    <w:rsid w:val="5FFF49F5"/>
    <w:rsid w:val="5FFFC1DC"/>
    <w:rsid w:val="602437A7"/>
    <w:rsid w:val="604007A4"/>
    <w:rsid w:val="60490185"/>
    <w:rsid w:val="60CC075F"/>
    <w:rsid w:val="60DB0267"/>
    <w:rsid w:val="60F577E0"/>
    <w:rsid w:val="61204F0E"/>
    <w:rsid w:val="61E850F8"/>
    <w:rsid w:val="620D1222"/>
    <w:rsid w:val="622B2068"/>
    <w:rsid w:val="62A22D8D"/>
    <w:rsid w:val="62DF2BC6"/>
    <w:rsid w:val="63387560"/>
    <w:rsid w:val="63702F31"/>
    <w:rsid w:val="63B2141C"/>
    <w:rsid w:val="641973C1"/>
    <w:rsid w:val="646060BC"/>
    <w:rsid w:val="64654C7D"/>
    <w:rsid w:val="647C069A"/>
    <w:rsid w:val="64D14BF1"/>
    <w:rsid w:val="65102E3B"/>
    <w:rsid w:val="654A706B"/>
    <w:rsid w:val="654F2484"/>
    <w:rsid w:val="65FE7C16"/>
    <w:rsid w:val="66172C48"/>
    <w:rsid w:val="6712134F"/>
    <w:rsid w:val="677EB951"/>
    <w:rsid w:val="67F7ECAC"/>
    <w:rsid w:val="68662D72"/>
    <w:rsid w:val="687C2595"/>
    <w:rsid w:val="68960B06"/>
    <w:rsid w:val="68B327D3"/>
    <w:rsid w:val="698A222F"/>
    <w:rsid w:val="698D37BB"/>
    <w:rsid w:val="69B905E2"/>
    <w:rsid w:val="69DD3507"/>
    <w:rsid w:val="69DF2DDC"/>
    <w:rsid w:val="69F4BEB7"/>
    <w:rsid w:val="69FB6804"/>
    <w:rsid w:val="6A421FE5"/>
    <w:rsid w:val="6AEA9417"/>
    <w:rsid w:val="6B057B25"/>
    <w:rsid w:val="6B3C43FB"/>
    <w:rsid w:val="6BBF6F53"/>
    <w:rsid w:val="6BDBD171"/>
    <w:rsid w:val="6BDFDB4B"/>
    <w:rsid w:val="6BFF710B"/>
    <w:rsid w:val="6C663340"/>
    <w:rsid w:val="6D0D1E15"/>
    <w:rsid w:val="6D25AFD7"/>
    <w:rsid w:val="6DBE1FD8"/>
    <w:rsid w:val="6DCF50CB"/>
    <w:rsid w:val="6E386362"/>
    <w:rsid w:val="6E3D4902"/>
    <w:rsid w:val="6E3D76EB"/>
    <w:rsid w:val="6EE12747"/>
    <w:rsid w:val="6F1B5DC7"/>
    <w:rsid w:val="6F3F394C"/>
    <w:rsid w:val="6F7F9732"/>
    <w:rsid w:val="6FBC1401"/>
    <w:rsid w:val="6FBC186C"/>
    <w:rsid w:val="6FBFFDA5"/>
    <w:rsid w:val="6FD13EA2"/>
    <w:rsid w:val="6FFCCD65"/>
    <w:rsid w:val="6FFF4268"/>
    <w:rsid w:val="70060FEB"/>
    <w:rsid w:val="700A405F"/>
    <w:rsid w:val="703838A9"/>
    <w:rsid w:val="705B6F34"/>
    <w:rsid w:val="70610BDB"/>
    <w:rsid w:val="70807C23"/>
    <w:rsid w:val="70952446"/>
    <w:rsid w:val="709F1B1A"/>
    <w:rsid w:val="70D62DD3"/>
    <w:rsid w:val="7186603A"/>
    <w:rsid w:val="71B07C13"/>
    <w:rsid w:val="71F8383A"/>
    <w:rsid w:val="72960BBB"/>
    <w:rsid w:val="72A16794"/>
    <w:rsid w:val="732B52E4"/>
    <w:rsid w:val="73EE4C3F"/>
    <w:rsid w:val="75263FB5"/>
    <w:rsid w:val="75843DDB"/>
    <w:rsid w:val="75937BF4"/>
    <w:rsid w:val="75DF5886"/>
    <w:rsid w:val="76112556"/>
    <w:rsid w:val="7635037C"/>
    <w:rsid w:val="765B5EE0"/>
    <w:rsid w:val="767172DA"/>
    <w:rsid w:val="76984881"/>
    <w:rsid w:val="76BF3D50"/>
    <w:rsid w:val="77277BAB"/>
    <w:rsid w:val="773B56AB"/>
    <w:rsid w:val="773C101A"/>
    <w:rsid w:val="7765FDF4"/>
    <w:rsid w:val="77F38809"/>
    <w:rsid w:val="77FA3FC1"/>
    <w:rsid w:val="77FDCEF2"/>
    <w:rsid w:val="78B67872"/>
    <w:rsid w:val="78F7906D"/>
    <w:rsid w:val="79132D33"/>
    <w:rsid w:val="793F2F32"/>
    <w:rsid w:val="797D121B"/>
    <w:rsid w:val="79C574B4"/>
    <w:rsid w:val="79DC32F3"/>
    <w:rsid w:val="7ABF0B7D"/>
    <w:rsid w:val="7ADFE4FA"/>
    <w:rsid w:val="7B3274AA"/>
    <w:rsid w:val="7B3E6B7A"/>
    <w:rsid w:val="7B6E21C1"/>
    <w:rsid w:val="7B8A691F"/>
    <w:rsid w:val="7BA7F145"/>
    <w:rsid w:val="7BD75276"/>
    <w:rsid w:val="7BDF613B"/>
    <w:rsid w:val="7BFD8D92"/>
    <w:rsid w:val="7C4B2553"/>
    <w:rsid w:val="7C7C3FC9"/>
    <w:rsid w:val="7CC3033B"/>
    <w:rsid w:val="7CCBEE3C"/>
    <w:rsid w:val="7CDD40E7"/>
    <w:rsid w:val="7CFF14BA"/>
    <w:rsid w:val="7D6F7D77"/>
    <w:rsid w:val="7D7B7944"/>
    <w:rsid w:val="7D9125F6"/>
    <w:rsid w:val="7DB74BA1"/>
    <w:rsid w:val="7DCA5D8C"/>
    <w:rsid w:val="7E7634C1"/>
    <w:rsid w:val="7E7E3117"/>
    <w:rsid w:val="7E8C0116"/>
    <w:rsid w:val="7EA71A9E"/>
    <w:rsid w:val="7EEBD52B"/>
    <w:rsid w:val="7EEED848"/>
    <w:rsid w:val="7EFDC5CC"/>
    <w:rsid w:val="7EFEEA8B"/>
    <w:rsid w:val="7F0C2FFD"/>
    <w:rsid w:val="7F3EDFC2"/>
    <w:rsid w:val="7F9FC8E2"/>
    <w:rsid w:val="7FA8C96C"/>
    <w:rsid w:val="7FBBDCC9"/>
    <w:rsid w:val="7FBF6646"/>
    <w:rsid w:val="7FDC46A1"/>
    <w:rsid w:val="7FDFB580"/>
    <w:rsid w:val="7FEEDBB2"/>
    <w:rsid w:val="7FF2462F"/>
    <w:rsid w:val="7FFB03C9"/>
    <w:rsid w:val="7FFD92C4"/>
    <w:rsid w:val="7FFDE4C7"/>
    <w:rsid w:val="7FFF1C9D"/>
    <w:rsid w:val="7FFFD8D5"/>
    <w:rsid w:val="7FFFFED1"/>
    <w:rsid w:val="8E7F47B5"/>
    <w:rsid w:val="937CF66A"/>
    <w:rsid w:val="96D745CB"/>
    <w:rsid w:val="96DBF384"/>
    <w:rsid w:val="99F9DA2B"/>
    <w:rsid w:val="9EEF65A5"/>
    <w:rsid w:val="9F65766C"/>
    <w:rsid w:val="A6D4B193"/>
    <w:rsid w:val="AD7F8F18"/>
    <w:rsid w:val="AF4F3D40"/>
    <w:rsid w:val="B25B4AB0"/>
    <w:rsid w:val="B2BBF4DC"/>
    <w:rsid w:val="B37F180B"/>
    <w:rsid w:val="B3F603B4"/>
    <w:rsid w:val="B737B206"/>
    <w:rsid w:val="B763E2B1"/>
    <w:rsid w:val="B9E643F4"/>
    <w:rsid w:val="BB9F3A72"/>
    <w:rsid w:val="BBBDE350"/>
    <w:rsid w:val="BBEF07B6"/>
    <w:rsid w:val="BCDF62FE"/>
    <w:rsid w:val="BCEB1062"/>
    <w:rsid w:val="BD5C5F10"/>
    <w:rsid w:val="BDBFB720"/>
    <w:rsid w:val="BDFDE6D6"/>
    <w:rsid w:val="BE3E7544"/>
    <w:rsid w:val="BF1F4B31"/>
    <w:rsid w:val="BF78B67F"/>
    <w:rsid w:val="BFC5735B"/>
    <w:rsid w:val="BFE71B09"/>
    <w:rsid w:val="BFEFB115"/>
    <w:rsid w:val="BFFFFD5E"/>
    <w:rsid w:val="C51F0D44"/>
    <w:rsid w:val="C6FD9582"/>
    <w:rsid w:val="CEFBB896"/>
    <w:rsid w:val="CF6B1061"/>
    <w:rsid w:val="CFC10489"/>
    <w:rsid w:val="CFCB2443"/>
    <w:rsid w:val="CFEB8243"/>
    <w:rsid w:val="CFFE6978"/>
    <w:rsid w:val="D3BF3F0F"/>
    <w:rsid w:val="D4FCA521"/>
    <w:rsid w:val="D773983B"/>
    <w:rsid w:val="D97F7BA7"/>
    <w:rsid w:val="DB3FE588"/>
    <w:rsid w:val="DBBF622C"/>
    <w:rsid w:val="DBFF0B8C"/>
    <w:rsid w:val="DDB74344"/>
    <w:rsid w:val="DDEEDC9D"/>
    <w:rsid w:val="DE3EDBC0"/>
    <w:rsid w:val="DEFB6175"/>
    <w:rsid w:val="DF1EB84B"/>
    <w:rsid w:val="DFFBC370"/>
    <w:rsid w:val="DFFBD364"/>
    <w:rsid w:val="E2D982A1"/>
    <w:rsid w:val="E4A3F369"/>
    <w:rsid w:val="E57724D2"/>
    <w:rsid w:val="E81F1646"/>
    <w:rsid w:val="E9AFF203"/>
    <w:rsid w:val="EAB0677C"/>
    <w:rsid w:val="EB6736FF"/>
    <w:rsid w:val="ED7F012A"/>
    <w:rsid w:val="EE6680A5"/>
    <w:rsid w:val="EEDBD92F"/>
    <w:rsid w:val="EFB5E6CD"/>
    <w:rsid w:val="EFF7613E"/>
    <w:rsid w:val="F3175D0A"/>
    <w:rsid w:val="F4FF9973"/>
    <w:rsid w:val="F5B968D9"/>
    <w:rsid w:val="F66FD149"/>
    <w:rsid w:val="F6D5F425"/>
    <w:rsid w:val="F6EB7CE5"/>
    <w:rsid w:val="F75D8267"/>
    <w:rsid w:val="F7DDF1B8"/>
    <w:rsid w:val="F7F54EC0"/>
    <w:rsid w:val="F9FBC8E5"/>
    <w:rsid w:val="FA7E1472"/>
    <w:rsid w:val="FAFF0ADF"/>
    <w:rsid w:val="FB342E06"/>
    <w:rsid w:val="FB5EFB93"/>
    <w:rsid w:val="FB6F2CEB"/>
    <w:rsid w:val="FB9F7887"/>
    <w:rsid w:val="FBE99607"/>
    <w:rsid w:val="FBFA23D4"/>
    <w:rsid w:val="FBFD4ABE"/>
    <w:rsid w:val="FBFF8A2F"/>
    <w:rsid w:val="FC8F5518"/>
    <w:rsid w:val="FD102302"/>
    <w:rsid w:val="FD7E2055"/>
    <w:rsid w:val="FE6A687A"/>
    <w:rsid w:val="FE77BE7B"/>
    <w:rsid w:val="FE9F78C8"/>
    <w:rsid w:val="FEBFE9CC"/>
    <w:rsid w:val="FEF55400"/>
    <w:rsid w:val="FEF6CA0A"/>
    <w:rsid w:val="FEF6D80C"/>
    <w:rsid w:val="FEFFD719"/>
    <w:rsid w:val="FF27E876"/>
    <w:rsid w:val="FF5C9C37"/>
    <w:rsid w:val="FFBF1E15"/>
    <w:rsid w:val="FFD3B698"/>
    <w:rsid w:val="FFE5C77B"/>
    <w:rsid w:val="FFEBAD92"/>
    <w:rsid w:val="FFEC793E"/>
    <w:rsid w:val="FFEEE4BF"/>
    <w:rsid w:val="FFEFF209"/>
    <w:rsid w:val="FFF827D7"/>
    <w:rsid w:val="FFFD8421"/>
    <w:rsid w:val="FFFDF500"/>
    <w:rsid w:val="FFFFA80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qFormat/>
    <w:uiPriority w:val="0"/>
    <w:pPr>
      <w:keepNext/>
      <w:keepLines/>
      <w:spacing w:before="160" w:after="160"/>
      <w:ind w:firstLine="643"/>
      <w:jc w:val="left"/>
      <w:outlineLvl w:val="1"/>
    </w:pPr>
    <w:rPr>
      <w:rFonts w:ascii="仿宋_GB2312" w:hAnsi="Times New Roman"/>
      <w:b/>
      <w:bCs/>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spacing w:line="600" w:lineRule="exact"/>
      <w:ind w:firstLine="420" w:firstLineChars="200"/>
    </w:pPr>
    <w:rPr>
      <w:rFonts w:eastAsia="仿宋_GB2312"/>
      <w:sz w:val="34"/>
    </w:rPr>
  </w:style>
  <w:style w:type="paragraph" w:styleId="7">
    <w:name w:val="caption"/>
    <w:basedOn w:val="1"/>
    <w:next w:val="1"/>
    <w:qFormat/>
    <w:uiPriority w:val="99"/>
    <w:rPr>
      <w:rFonts w:ascii="Cambria" w:hAnsi="Cambria" w:eastAsia="黑体" w:cs="Cambria"/>
      <w:sz w:val="20"/>
      <w:szCs w:val="20"/>
    </w:rPr>
  </w:style>
  <w:style w:type="paragraph" w:styleId="8">
    <w:name w:val="annotation text"/>
    <w:basedOn w:val="1"/>
    <w:qFormat/>
    <w:uiPriority w:val="0"/>
    <w:pPr>
      <w:jc w:val="left"/>
    </w:pPr>
  </w:style>
  <w:style w:type="paragraph" w:styleId="9">
    <w:name w:val="Body Text"/>
    <w:basedOn w:val="1"/>
    <w:next w:val="1"/>
    <w:qFormat/>
    <w:uiPriority w:val="0"/>
    <w:pPr>
      <w:spacing w:after="120"/>
    </w:p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Emphasis"/>
    <w:basedOn w:val="15"/>
    <w:qFormat/>
    <w:uiPriority w:val="0"/>
    <w:rPr>
      <w:i/>
    </w:rPr>
  </w:style>
  <w:style w:type="character" w:customStyle="1" w:styleId="18">
    <w:name w:val="font71"/>
    <w:basedOn w:val="15"/>
    <w:qFormat/>
    <w:uiPriority w:val="0"/>
    <w:rPr>
      <w:rFonts w:hint="eastAsia" w:ascii="仿宋_GB2312" w:eastAsia="仿宋_GB2312" w:cs="仿宋_GB2312"/>
      <w:color w:val="000000"/>
      <w:sz w:val="21"/>
      <w:szCs w:val="21"/>
      <w:u w:val="none"/>
    </w:rPr>
  </w:style>
  <w:style w:type="character" w:customStyle="1" w:styleId="19">
    <w:name w:val="font11"/>
    <w:basedOn w:val="15"/>
    <w:qFormat/>
    <w:uiPriority w:val="0"/>
    <w:rPr>
      <w:rFonts w:ascii="方正隶书_GBK" w:hAnsi="方正隶书_GBK" w:eastAsia="方正隶书_GBK" w:cs="方正隶书_GBK"/>
      <w:color w:val="000000"/>
      <w:sz w:val="21"/>
      <w:szCs w:val="21"/>
      <w:u w:val="none"/>
    </w:rPr>
  </w:style>
  <w:style w:type="character" w:customStyle="1" w:styleId="20">
    <w:name w:val="font01"/>
    <w:basedOn w:val="15"/>
    <w:qFormat/>
    <w:uiPriority w:val="0"/>
    <w:rPr>
      <w:rFonts w:ascii="汉仪书宋二S" w:hAnsi="汉仪书宋二S" w:eastAsia="汉仪书宋二S" w:cs="汉仪书宋二S"/>
      <w:color w:val="000000"/>
      <w:sz w:val="21"/>
      <w:szCs w:val="21"/>
      <w:u w:val="none"/>
    </w:rPr>
  </w:style>
  <w:style w:type="paragraph" w:customStyle="1" w:styleId="21">
    <w:name w:val="正文1"/>
    <w:basedOn w:val="1"/>
    <w:link w:val="22"/>
    <w:qFormat/>
    <w:uiPriority w:val="0"/>
    <w:pPr>
      <w:overflowPunct w:val="0"/>
      <w:adjustRightInd w:val="0"/>
      <w:snapToGrid w:val="0"/>
      <w:spacing w:line="560" w:lineRule="exact"/>
      <w:ind w:firstLine="640" w:firstLineChars="200"/>
    </w:pPr>
    <w:rPr>
      <w:rFonts w:hint="eastAsia" w:ascii="Times New Roman" w:hAnsi="Times New Roman" w:eastAsia="仿宋_GB2312" w:cs="仿宋_GB2312"/>
      <w:color w:val="auto"/>
      <w:sz w:val="32"/>
      <w:szCs w:val="32"/>
    </w:rPr>
  </w:style>
  <w:style w:type="character" w:customStyle="1" w:styleId="22">
    <w:name w:val="正文1 Char"/>
    <w:link w:val="21"/>
    <w:qFormat/>
    <w:uiPriority w:val="0"/>
    <w:rPr>
      <w:rFonts w:hint="eastAsia" w:ascii="Times New Roman" w:hAnsi="Times New Roman" w:eastAsia="仿宋_GB2312" w:cs="仿宋_GB2312"/>
      <w:color w:val="auto"/>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692</Words>
  <Characters>748</Characters>
  <Lines>0</Lines>
  <Paragraphs>0</Paragraphs>
  <TotalTime>52</TotalTime>
  <ScaleCrop>false</ScaleCrop>
  <LinksUpToDate>false</LinksUpToDate>
  <CharactersWithSpaces>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2025-08-08T20:18:00Z</dcterms:created>
  <dc:creator>潘琦雯</dc:creator>
  <cp:lastModifiedBy>呆毛姑娘</cp:lastModifiedBy>
  <cp:lastPrinted>2025-09-19T00:49:00Z</cp:lastPrinted>
  <dcterms:modified xsi:type="dcterms:W3CDTF">2026-09-08T10:07:20Z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eyJoZGlkIjoiZTJjZjIyMGJiOWQ3MTMwMGFlMmNmNzU4YmI4M2I3M2YiLCJ1c2VySWQiOiI0MDEwODcyNDYifQ==</vt:lpwstr>
  </property>
  <property fmtid="{D5CDD505-2E9C-101B-9397-08002B2CF9AE}" pid="4" name="ICV">
    <vt:lpwstr>11DDFB6B968249CC95E70EEC72E9B61C_13</vt:lpwstr>
  </property>
</Properties>
</file>